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F72C6">
      <w:pPr>
        <w:tabs>
          <w:tab w:val="left" w:pos="5220"/>
        </w:tabs>
        <w:jc w:val="both"/>
        <w:rPr>
          <w:rFonts w:hint="eastAsia" w:ascii="宋体" w:hAnsi="宋体" w:cs="黑体"/>
          <w:b/>
          <w:sz w:val="44"/>
          <w:szCs w:val="52"/>
        </w:rPr>
      </w:pPr>
    </w:p>
    <w:p w14:paraId="7962BA0B">
      <w:pPr>
        <w:jc w:val="center"/>
        <w:rPr>
          <w:rFonts w:hint="default" w:ascii="宋体" w:hAnsi="宋体" w:eastAsia="宋体" w:cs="黑体"/>
          <w:b/>
          <w:sz w:val="48"/>
          <w:szCs w:val="52"/>
          <w:highlight w:val="none"/>
          <w:lang w:val="en-US" w:eastAsia="zh-CN"/>
        </w:rPr>
      </w:pPr>
      <w:r>
        <w:rPr>
          <w:rFonts w:hint="eastAsia" w:ascii="宋体" w:hAnsi="宋体" w:cs="黑体"/>
          <w:b/>
          <w:sz w:val="48"/>
          <w:szCs w:val="52"/>
          <w:highlight w:val="none"/>
        </w:rPr>
        <w:t>数据中心信息统一管理平台基础建设项目</w:t>
      </w:r>
      <w:r>
        <w:rPr>
          <w:rFonts w:hint="eastAsia" w:ascii="宋体" w:hAnsi="宋体" w:cs="黑体"/>
          <w:b/>
          <w:sz w:val="48"/>
          <w:szCs w:val="52"/>
          <w:highlight w:val="none"/>
          <w:lang w:val="en-US" w:eastAsia="zh-CN"/>
        </w:rPr>
        <w:t>建设需求</w:t>
      </w:r>
    </w:p>
    <w:p w14:paraId="0EFFEA92">
      <w:pPr>
        <w:pStyle w:val="2"/>
        <w:rPr>
          <w:rFonts w:hint="eastAsia" w:ascii="宋体" w:hAnsi="宋体"/>
        </w:rPr>
      </w:pPr>
      <w:bookmarkStart w:id="0" w:name="_Toc101307019"/>
      <w:bookmarkStart w:id="1" w:name="_Toc173433519"/>
      <w:r>
        <w:rPr>
          <w:rFonts w:hint="eastAsia" w:ascii="宋体" w:hAnsi="宋体"/>
          <w:lang w:val="en-US" w:eastAsia="zh-CN"/>
        </w:rPr>
        <w:t>1</w:t>
      </w:r>
      <w:r>
        <w:rPr>
          <w:rFonts w:hint="eastAsia" w:ascii="宋体" w:hAnsi="宋体"/>
        </w:rPr>
        <w:t>.建设内容</w:t>
      </w:r>
      <w:bookmarkEnd w:id="0"/>
      <w:bookmarkEnd w:id="1"/>
    </w:p>
    <w:tbl>
      <w:tblPr>
        <w:tblStyle w:val="14"/>
        <w:tblW w:w="9179" w:type="dxa"/>
        <w:jc w:val="center"/>
        <w:tblLayout w:type="autofit"/>
        <w:tblCellMar>
          <w:top w:w="0" w:type="dxa"/>
          <w:left w:w="108" w:type="dxa"/>
          <w:bottom w:w="0" w:type="dxa"/>
          <w:right w:w="108" w:type="dxa"/>
        </w:tblCellMar>
      </w:tblPr>
      <w:tblGrid>
        <w:gridCol w:w="815"/>
        <w:gridCol w:w="1524"/>
        <w:gridCol w:w="5760"/>
        <w:gridCol w:w="1080"/>
      </w:tblGrid>
      <w:tr w14:paraId="027FDBC9">
        <w:tblPrEx>
          <w:tblCellMar>
            <w:top w:w="0" w:type="dxa"/>
            <w:left w:w="108" w:type="dxa"/>
            <w:bottom w:w="0" w:type="dxa"/>
            <w:right w:w="108" w:type="dxa"/>
          </w:tblCellMar>
        </w:tblPrEx>
        <w:trPr>
          <w:trHeight w:val="27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B80">
            <w:pPr>
              <w:widowControl/>
              <w:spacing w:line="360" w:lineRule="auto"/>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369">
            <w:pPr>
              <w:widowControl/>
              <w:spacing w:line="360" w:lineRule="auto"/>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产品名称</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FFE6">
            <w:pPr>
              <w:widowControl/>
              <w:spacing w:line="360" w:lineRule="auto"/>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配置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04F5">
            <w:pPr>
              <w:widowControl/>
              <w:spacing w:line="360" w:lineRule="auto"/>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数量</w:t>
            </w:r>
          </w:p>
        </w:tc>
      </w:tr>
      <w:tr w14:paraId="17C8D4D5">
        <w:tblPrEx>
          <w:tblCellMar>
            <w:top w:w="0" w:type="dxa"/>
            <w:left w:w="108" w:type="dxa"/>
            <w:bottom w:w="0" w:type="dxa"/>
            <w:right w:w="108" w:type="dxa"/>
          </w:tblCellMar>
        </w:tblPrEx>
        <w:trPr>
          <w:trHeight w:val="5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6B02">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2664">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正版服务器操作系统</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BB4">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Windows Server 2022 Standard - 16 Core License Pack（标准版），提供现场安装部署服务。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9D21">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20</w:t>
            </w:r>
          </w:p>
        </w:tc>
      </w:tr>
      <w:tr w14:paraId="5AACAD45">
        <w:tblPrEx>
          <w:tblCellMar>
            <w:top w:w="0" w:type="dxa"/>
            <w:left w:w="108" w:type="dxa"/>
            <w:bottom w:w="0" w:type="dxa"/>
            <w:right w:w="108" w:type="dxa"/>
          </w:tblCellMar>
        </w:tblPrEx>
        <w:trPr>
          <w:trHeight w:val="162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9AB1">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B54">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数据中心统一管理流量安全编排系统</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3BE">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实现网络安全域隔离、精细化访问控制、高性能流量解密、灵活流量编排、安全网元池化、高效威胁防护和高级威胁检测等功能，为我院在网络边界构建新一代威胁防御平台。编排器上解密一次，就可以把明文流量引到需要对该流量进行处理的网络安全设备，实现面向业务的精准防护，同时运维方便排障简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BC7">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r>
      <w:tr w14:paraId="29E7D1CB">
        <w:tblPrEx>
          <w:tblCellMar>
            <w:top w:w="0" w:type="dxa"/>
            <w:left w:w="108" w:type="dxa"/>
            <w:bottom w:w="0" w:type="dxa"/>
            <w:right w:w="108" w:type="dxa"/>
          </w:tblCellMar>
        </w:tblPrEx>
        <w:trPr>
          <w:trHeight w:val="216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0F3">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0ECC">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val="en-US" w:eastAsia="zh-CN" w:bidi="ar"/>
              </w:rPr>
              <w:t>中心机房</w:t>
            </w:r>
            <w:r>
              <w:rPr>
                <w:rFonts w:hint="eastAsia" w:ascii="宋体" w:hAnsi="宋体" w:cs="宋体"/>
                <w:color w:val="000000"/>
                <w:kern w:val="0"/>
                <w:szCs w:val="24"/>
                <w:lang w:bidi="ar"/>
              </w:rPr>
              <w:t>动环系统</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7DC2">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平台软件监控界面展示可支持实时数据智能统计、数据智能分析，可将配电、温湿度等机房监控数据的实时变化通过实时曲线的方式形象地展示出来，并非传统的数字展示。监控平台软件的数据查询系统可同时支持对多个数据量的查询和比较，并通过数据表格、曲线、柱状图、饼状图等多种方式展示出来。具有报警级别管理功能和报警弹窗功能。多屏分割：系统需支持多屏分割功能，可将监控画面分割为1、4、9、16个界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032">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r>
      <w:tr w14:paraId="66FBBF97">
        <w:tblPrEx>
          <w:tblCellMar>
            <w:top w:w="0" w:type="dxa"/>
            <w:left w:w="108" w:type="dxa"/>
            <w:bottom w:w="0" w:type="dxa"/>
            <w:right w:w="108" w:type="dxa"/>
          </w:tblCellMar>
        </w:tblPrEx>
        <w:trPr>
          <w:trHeight w:val="135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D7E">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3391">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ICT数据中心统一管理平台</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1A17">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管理包含35台服务器，全闪存储2台，混闪存储3台。提供存储、服务器、虚拟机、操作系统、数据库、WEB应用等统一管理，实现了IT资源的状态监测、容量可查、性能可视； 支持可编排的业务视图，实现ICT基础设施状态变化到应用系统质量可视，保障业务的稳定运行。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CB16">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r>
      <w:tr w14:paraId="3FDC3591">
        <w:tblPrEx>
          <w:tblCellMar>
            <w:top w:w="0" w:type="dxa"/>
            <w:left w:w="108" w:type="dxa"/>
            <w:bottom w:w="0" w:type="dxa"/>
            <w:right w:w="108" w:type="dxa"/>
          </w:tblCellMar>
        </w:tblPrEx>
        <w:trPr>
          <w:trHeight w:val="54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153">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E573">
            <w:pPr>
              <w:widowControl/>
              <w:spacing w:line="360" w:lineRule="auto"/>
              <w:jc w:val="center"/>
              <w:textAlignment w:val="center"/>
              <w:rPr>
                <w:rFonts w:hint="eastAsia" w:ascii="宋体" w:hAnsi="宋体" w:eastAsia="宋体" w:cs="宋体"/>
                <w:color w:val="000000"/>
                <w:szCs w:val="24"/>
                <w:lang w:val="en-US" w:eastAsia="zh-CN"/>
              </w:rPr>
            </w:pPr>
            <w:r>
              <w:rPr>
                <w:rFonts w:hint="eastAsia" w:ascii="宋体" w:hAnsi="宋体" w:cs="宋体"/>
                <w:color w:val="000000"/>
                <w:kern w:val="0"/>
                <w:szCs w:val="24"/>
                <w:lang w:bidi="ar"/>
              </w:rPr>
              <w:t>数据迁移</w:t>
            </w:r>
            <w:r>
              <w:rPr>
                <w:rFonts w:hint="eastAsia" w:ascii="宋体" w:hAnsi="宋体" w:cs="宋体"/>
                <w:color w:val="000000"/>
                <w:kern w:val="0"/>
                <w:szCs w:val="24"/>
                <w:lang w:val="en-US" w:eastAsia="zh-CN" w:bidi="ar"/>
              </w:rPr>
              <w:t>服务</w:t>
            </w:r>
            <w:bookmarkStart w:id="12" w:name="_GoBack"/>
            <w:bookmarkEnd w:id="12"/>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66FC">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35台服务器，全闪存储2台，混闪存储3台。提供存储、服务器、虚拟机、操作系统、数据库等原厂数据迁移服务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547">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r>
      <w:tr w14:paraId="3607494E">
        <w:tblPrEx>
          <w:tblCellMar>
            <w:top w:w="0" w:type="dxa"/>
            <w:left w:w="108" w:type="dxa"/>
            <w:bottom w:w="0" w:type="dxa"/>
            <w:right w:w="108" w:type="dxa"/>
          </w:tblCellMar>
        </w:tblPrEx>
        <w:trPr>
          <w:trHeight w:val="81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CE2B">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474C">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48口接入交换机</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C3B">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48个10/100/1000BASE-T以太网端口,4个万兆SFP+,2个12GE堆叠口,交流供电，1个光模块-SFP+-10G-单模模块(1310nm,10km,LC)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34F">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42</w:t>
            </w:r>
          </w:p>
        </w:tc>
      </w:tr>
      <w:tr w14:paraId="1457AF8B">
        <w:tblPrEx>
          <w:tblCellMar>
            <w:top w:w="0" w:type="dxa"/>
            <w:left w:w="108" w:type="dxa"/>
            <w:bottom w:w="0" w:type="dxa"/>
            <w:right w:w="108" w:type="dxa"/>
          </w:tblCellMar>
        </w:tblPrEx>
        <w:trPr>
          <w:trHeight w:val="81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360">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9300">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24口接入交换机</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AC5">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24个10/100/1000BASE-T以太网端口,4个万兆SFP+,2个12GE堆叠口,交流供电，1个光模块-SFP+-10G-单模模块(1310nm,10km,LC)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7440">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10</w:t>
            </w:r>
          </w:p>
        </w:tc>
      </w:tr>
      <w:tr w14:paraId="09049992">
        <w:tblPrEx>
          <w:tblCellMar>
            <w:top w:w="0" w:type="dxa"/>
            <w:left w:w="108" w:type="dxa"/>
            <w:bottom w:w="0" w:type="dxa"/>
            <w:right w:w="108" w:type="dxa"/>
          </w:tblCellMar>
        </w:tblPrEx>
        <w:trPr>
          <w:trHeight w:val="1350"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1761">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A56">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ICT数据中心统一管理认证系统</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B4A1">
            <w:pPr>
              <w:widowControl/>
              <w:spacing w:line="360" w:lineRule="auto"/>
              <w:jc w:val="left"/>
              <w:textAlignment w:val="center"/>
              <w:rPr>
                <w:rFonts w:hint="eastAsia" w:ascii="宋体" w:hAnsi="宋体" w:cs="宋体"/>
                <w:color w:val="000000"/>
                <w:szCs w:val="24"/>
              </w:rPr>
            </w:pPr>
            <w:r>
              <w:rPr>
                <w:rFonts w:hint="eastAsia" w:ascii="宋体" w:hAnsi="宋体" w:cs="宋体"/>
                <w:color w:val="000000"/>
                <w:kern w:val="0"/>
                <w:szCs w:val="24"/>
                <w:lang w:bidi="ar"/>
              </w:rPr>
              <w:t>支持云虚拟化环境安装部署，系统数据库支持集中式或分离式部署；我院可以随时通过升级服务器平台达到扩展端口、增加链路；本次配置并发我院数：50000个永久正式授权，无感知准入授权：50000个；提供现场安装部署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57BB">
            <w:pPr>
              <w:widowControl/>
              <w:spacing w:line="360" w:lineRule="auto"/>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r>
    </w:tbl>
    <w:p w14:paraId="36D10145">
      <w:pPr>
        <w:pStyle w:val="2"/>
        <w:rPr>
          <w:rFonts w:hint="eastAsia" w:ascii="宋体" w:hAnsi="宋体"/>
        </w:rPr>
      </w:pPr>
      <w:bookmarkStart w:id="2" w:name="_Toc173433536"/>
      <w:bookmarkStart w:id="3" w:name="_Toc101307045"/>
      <w:r>
        <w:rPr>
          <w:rFonts w:hint="eastAsia" w:ascii="宋体" w:hAnsi="宋体"/>
          <w:lang w:val="en-US" w:eastAsia="zh-CN"/>
        </w:rPr>
        <w:t>2</w:t>
      </w:r>
      <w:r>
        <w:rPr>
          <w:rFonts w:hint="eastAsia" w:ascii="宋体" w:hAnsi="宋体"/>
        </w:rPr>
        <w:t>.建设效果</w:t>
      </w:r>
      <w:bookmarkEnd w:id="2"/>
      <w:bookmarkEnd w:id="3"/>
    </w:p>
    <w:p w14:paraId="0B2A8B36">
      <w:pPr>
        <w:pStyle w:val="3"/>
        <w:rPr>
          <w:rFonts w:hint="eastAsia" w:ascii="宋体" w:hAnsi="宋体"/>
        </w:rPr>
      </w:pPr>
      <w:bookmarkStart w:id="4" w:name="_Toc101307046"/>
      <w:bookmarkStart w:id="5" w:name="_Toc37698076"/>
      <w:bookmarkStart w:id="6" w:name="_Toc69323141"/>
      <w:bookmarkStart w:id="7" w:name="_Toc173433537"/>
      <w:r>
        <w:rPr>
          <w:rFonts w:hint="eastAsia" w:ascii="宋体" w:hAnsi="宋体"/>
          <w:lang w:val="en-US" w:eastAsia="zh-CN"/>
        </w:rPr>
        <w:t>2</w:t>
      </w:r>
      <w:r>
        <w:rPr>
          <w:rFonts w:hint="eastAsia" w:ascii="宋体" w:hAnsi="宋体"/>
        </w:rPr>
        <w:t>.1</w:t>
      </w:r>
      <w:bookmarkEnd w:id="4"/>
      <w:bookmarkEnd w:id="5"/>
      <w:bookmarkEnd w:id="6"/>
      <w:r>
        <w:rPr>
          <w:rFonts w:hint="eastAsia" w:ascii="宋体" w:hAnsi="宋体"/>
        </w:rPr>
        <w:t>构建“信息、资源”的统一监控管理体系</w:t>
      </w:r>
      <w:bookmarkEnd w:id="7"/>
    </w:p>
    <w:p w14:paraId="7A2B539B">
      <w:pPr>
        <w:spacing w:line="360" w:lineRule="auto"/>
        <w:ind w:firstLine="480" w:firstLineChars="200"/>
        <w:rPr>
          <w:rFonts w:hint="eastAsia" w:ascii="宋体" w:hAnsi="宋体"/>
        </w:rPr>
      </w:pPr>
      <w:r>
        <w:rPr>
          <w:rFonts w:hint="eastAsia" w:ascii="宋体" w:hAnsi="宋体"/>
        </w:rPr>
        <w:t>为医院数据中心设备提供集中化管理、可视化监控、智能化分析等功能，有效帮助企业提高运维效率、降低运维成本、提升资源使用率，保障医院数据中心系统的稳定运行。</w:t>
      </w:r>
    </w:p>
    <w:p w14:paraId="6B335BF7">
      <w:pPr>
        <w:spacing w:line="360" w:lineRule="auto"/>
        <w:ind w:firstLine="480" w:firstLineChars="200"/>
        <w:rPr>
          <w:rFonts w:hint="eastAsia" w:ascii="宋体" w:hAnsi="宋体" w:cs="宋体"/>
          <w:szCs w:val="24"/>
        </w:rPr>
      </w:pPr>
      <w:r>
        <w:rPr>
          <w:rFonts w:hint="eastAsia" w:ascii="宋体" w:hAnsi="宋体"/>
        </w:rPr>
        <w:t>构建“信息、资源”的统一监控管理体系，帮助数据中心我院，更安全、更高效、更简单、更智能、更规范地管理好数据中心。实现统一的数据中心运行监控，资源、能效、运营的统一管理。</w:t>
      </w:r>
    </w:p>
    <w:p w14:paraId="2C5BF9E9">
      <w:pPr>
        <w:pStyle w:val="3"/>
        <w:rPr>
          <w:rFonts w:hint="eastAsia" w:ascii="宋体" w:hAnsi="宋体"/>
        </w:rPr>
      </w:pPr>
      <w:bookmarkStart w:id="8" w:name="_Toc173433538"/>
      <w:r>
        <w:rPr>
          <w:rFonts w:hint="eastAsia" w:ascii="宋体" w:hAnsi="宋体"/>
          <w:lang w:val="en-US" w:eastAsia="zh-CN"/>
        </w:rPr>
        <w:t>2</w:t>
      </w:r>
      <w:r>
        <w:rPr>
          <w:rFonts w:hint="eastAsia" w:ascii="宋体" w:hAnsi="宋体"/>
        </w:rPr>
        <w:t>.2建立和完善操作系统正版化长效机制</w:t>
      </w:r>
      <w:bookmarkEnd w:id="8"/>
    </w:p>
    <w:p w14:paraId="5F8F17C4">
      <w:pPr>
        <w:spacing w:line="360" w:lineRule="auto"/>
        <w:ind w:firstLine="480" w:firstLineChars="200"/>
        <w:rPr>
          <w:rFonts w:hint="eastAsia" w:ascii="宋体" w:hAnsi="宋体"/>
        </w:rPr>
      </w:pPr>
      <w:r>
        <w:rPr>
          <w:rFonts w:hint="eastAsia" w:ascii="宋体" w:hAnsi="宋体"/>
        </w:rPr>
        <w:t>响应国家软件正版化的有关规定，服务器操作系统补丁实时更新、漏洞实时修补，形成操作系统正版化长效机制，进一步完善操作系统正版化标准、资产管理等相关制度，切实提高保护我院 的数据稳定性和安全性。</w:t>
      </w:r>
    </w:p>
    <w:p w14:paraId="0F8F95EB">
      <w:pPr>
        <w:pStyle w:val="3"/>
        <w:rPr>
          <w:rFonts w:hint="eastAsia" w:ascii="宋体" w:hAnsi="宋体"/>
        </w:rPr>
      </w:pPr>
      <w:bookmarkStart w:id="9" w:name="_Toc173433539"/>
      <w:r>
        <w:rPr>
          <w:rFonts w:hint="eastAsia" w:ascii="宋体" w:hAnsi="宋体"/>
          <w:lang w:val="en-US" w:eastAsia="zh-CN"/>
        </w:rPr>
        <w:t>2</w:t>
      </w:r>
      <w:r>
        <w:rPr>
          <w:rFonts w:hint="eastAsia" w:ascii="宋体" w:hAnsi="宋体"/>
        </w:rPr>
        <w:t>.3资源池化，智能编排，减低成本</w:t>
      </w:r>
      <w:bookmarkEnd w:id="9"/>
    </w:p>
    <w:p w14:paraId="12771870">
      <w:pPr>
        <w:spacing w:line="360" w:lineRule="auto"/>
        <w:ind w:firstLine="420"/>
        <w:rPr>
          <w:rFonts w:hint="eastAsia" w:ascii="宋体" w:hAnsi="宋体" w:cs="宋体"/>
          <w:szCs w:val="24"/>
        </w:rPr>
      </w:pPr>
      <w:r>
        <w:rPr>
          <w:rFonts w:hint="eastAsia" w:ascii="宋体" w:hAnsi="宋体" w:cs="宋体"/>
          <w:szCs w:val="24"/>
        </w:rPr>
        <w:t>通过网元组、负载分担、健康监测、流量编排等技术手段，实现了安全设备资源池化，让整个安全设备的部署架构更有弹性，具备动态扩容的能力。把不同类型的数据流量进行分类和引流，并提供了丰富的匹配条件，包括源IP、目的IP、服务、VLAN、应用、域名、URL等，让特定的流量，穿过不同的安全工具进行检查，实现了真正的精细化编排引流，节省资源并显著提升效率。</w:t>
      </w:r>
    </w:p>
    <w:p w14:paraId="7DF13FC6">
      <w:pPr>
        <w:spacing w:line="360" w:lineRule="auto"/>
        <w:ind w:firstLine="420"/>
        <w:rPr>
          <w:rFonts w:hint="eastAsia" w:ascii="宋体" w:hAnsi="宋体" w:cs="宋体"/>
          <w:szCs w:val="24"/>
        </w:rPr>
      </w:pPr>
      <w:r>
        <w:rPr>
          <w:rFonts w:hint="eastAsia" w:ascii="宋体" w:hAnsi="宋体" w:cs="宋体"/>
          <w:szCs w:val="24"/>
        </w:rPr>
        <w:t>支持多样化专业的安全组件，实现安全能力快速扩展；还能依靠独特的探测机制保障业务连续性，从而大大降低业务中断风险和总体维护成本。</w:t>
      </w:r>
    </w:p>
    <w:p w14:paraId="2B288CE3">
      <w:pPr>
        <w:pStyle w:val="3"/>
        <w:rPr>
          <w:rFonts w:hint="eastAsia" w:ascii="宋体" w:hAnsi="宋体"/>
        </w:rPr>
      </w:pPr>
      <w:bookmarkStart w:id="10" w:name="_Toc173433540"/>
      <w:r>
        <w:rPr>
          <w:rFonts w:hint="eastAsia" w:ascii="宋体" w:hAnsi="宋体"/>
          <w:lang w:val="en-US" w:eastAsia="zh-CN"/>
        </w:rPr>
        <w:t>2</w:t>
      </w:r>
      <w:r>
        <w:rPr>
          <w:rFonts w:hint="eastAsia" w:ascii="宋体" w:hAnsi="宋体"/>
        </w:rPr>
        <w:t>.4 应对内外部威胁危险，追踪非法行为</w:t>
      </w:r>
      <w:bookmarkEnd w:id="10"/>
    </w:p>
    <w:p w14:paraId="4DB1A0FA">
      <w:pPr>
        <w:spacing w:line="360" w:lineRule="auto"/>
        <w:ind w:firstLine="420"/>
        <w:rPr>
          <w:rFonts w:hint="eastAsia" w:ascii="宋体" w:hAnsi="宋体" w:cs="宋体"/>
          <w:szCs w:val="24"/>
          <w:lang w:eastAsia="zh-TW"/>
        </w:rPr>
      </w:pPr>
      <w:r>
        <w:rPr>
          <w:rFonts w:hint="eastAsia" w:ascii="宋体" w:hAnsi="宋体" w:cs="宋体"/>
          <w:szCs w:val="24"/>
          <w:lang w:eastAsia="zh-TW"/>
        </w:rPr>
        <w:t>能够快速及时进行拦截阻断，有效应对</w:t>
      </w:r>
      <w:r>
        <w:rPr>
          <w:rFonts w:hint="eastAsia" w:ascii="宋体" w:hAnsi="宋体" w:cs="宋体"/>
          <w:szCs w:val="24"/>
        </w:rPr>
        <w:t>操作系统、</w:t>
      </w:r>
      <w:r>
        <w:rPr>
          <w:rFonts w:hint="eastAsia" w:ascii="宋体" w:hAnsi="宋体" w:cs="宋体"/>
          <w:szCs w:val="24"/>
          <w:lang w:eastAsia="zh-TW"/>
        </w:rPr>
        <w:t>数据库</w:t>
      </w:r>
      <w:r>
        <w:rPr>
          <w:rFonts w:hint="eastAsia" w:ascii="宋体" w:hAnsi="宋体" w:cs="宋体"/>
          <w:szCs w:val="24"/>
        </w:rPr>
        <w:t>等</w:t>
      </w:r>
      <w:r>
        <w:rPr>
          <w:rFonts w:hint="eastAsia" w:ascii="宋体" w:hAnsi="宋体" w:cs="宋体"/>
          <w:szCs w:val="24"/>
          <w:lang w:eastAsia="zh-TW"/>
        </w:rPr>
        <w:t>被攻击的威胁。通过内置和自定义的访问控制规则，并结合黑白名单屏蔽处理机制，能够有效防范</w:t>
      </w:r>
      <w:r>
        <w:rPr>
          <w:rFonts w:hint="eastAsia" w:ascii="宋体" w:hAnsi="宋体" w:cs="宋体"/>
          <w:szCs w:val="24"/>
        </w:rPr>
        <w:t>外部人员非法登录接入、</w:t>
      </w:r>
      <w:r>
        <w:rPr>
          <w:rFonts w:hint="eastAsia" w:ascii="宋体" w:hAnsi="宋体" w:cs="宋体"/>
          <w:szCs w:val="24"/>
          <w:lang w:eastAsia="zh-TW"/>
        </w:rPr>
        <w:t>内部人员泄密、违规备份、权限滥用等访问风险。</w:t>
      </w:r>
    </w:p>
    <w:p w14:paraId="32797FB9">
      <w:pPr>
        <w:spacing w:line="360" w:lineRule="auto"/>
        <w:ind w:firstLine="420"/>
        <w:rPr>
          <w:rFonts w:hint="eastAsia" w:ascii="宋体" w:hAnsi="宋体" w:cs="宋体"/>
          <w:szCs w:val="24"/>
          <w:lang w:eastAsia="zh-TW"/>
        </w:rPr>
      </w:pPr>
      <w:r>
        <w:rPr>
          <w:rFonts w:hint="eastAsia" w:ascii="宋体" w:hAnsi="宋体" w:cs="宋体"/>
          <w:szCs w:val="24"/>
          <w:lang w:eastAsia="zh-TW"/>
        </w:rPr>
        <w:t>对</w:t>
      </w:r>
      <w:r>
        <w:rPr>
          <w:rFonts w:hint="eastAsia" w:ascii="宋体" w:hAnsi="宋体" w:cs="宋体"/>
          <w:szCs w:val="24"/>
        </w:rPr>
        <w:t>数据中心机房</w:t>
      </w:r>
      <w:r>
        <w:rPr>
          <w:rFonts w:hint="eastAsia" w:ascii="宋体" w:hAnsi="宋体" w:cs="宋体"/>
          <w:szCs w:val="24"/>
          <w:lang w:eastAsia="zh-TW"/>
        </w:rPr>
        <w:t>风险行为进行Syslog、SNMP、</w:t>
      </w:r>
      <w:r>
        <w:rPr>
          <w:rFonts w:hint="eastAsia" w:ascii="宋体" w:hAnsi="宋体" w:cs="宋体"/>
          <w:szCs w:val="24"/>
        </w:rPr>
        <w:t>EM</w:t>
      </w:r>
      <w:r>
        <w:rPr>
          <w:rFonts w:hint="eastAsia" w:ascii="宋体" w:hAnsi="宋体" w:cs="宋体"/>
          <w:szCs w:val="24"/>
          <w:lang w:eastAsia="zh-TW"/>
        </w:rPr>
        <w:t>AIL、短信等方式的告警，并记录风险访问行为日志，便于事后追踪分析，解决难以追踪溯源的问题。</w:t>
      </w:r>
    </w:p>
    <w:p w14:paraId="7A259B12">
      <w:pPr>
        <w:spacing w:line="360" w:lineRule="auto"/>
        <w:outlineLvl w:val="1"/>
        <w:rPr>
          <w:rFonts w:hint="eastAsia" w:ascii="宋体" w:hAnsi="宋体" w:cstheme="majorBidi"/>
          <w:sz w:val="32"/>
          <w:szCs w:val="32"/>
        </w:rPr>
      </w:pPr>
      <w:bookmarkStart w:id="11" w:name="_Toc173433541"/>
      <w:r>
        <w:rPr>
          <w:rFonts w:hint="eastAsia" w:ascii="宋体" w:hAnsi="宋体" w:cstheme="majorBidi"/>
          <w:sz w:val="32"/>
          <w:szCs w:val="32"/>
          <w:lang w:val="en-US" w:eastAsia="zh-CN"/>
        </w:rPr>
        <w:t>2</w:t>
      </w:r>
      <w:r>
        <w:rPr>
          <w:rFonts w:hint="eastAsia" w:ascii="宋体" w:hAnsi="宋体" w:cstheme="majorBidi"/>
          <w:sz w:val="32"/>
          <w:szCs w:val="32"/>
        </w:rPr>
        <w:t>.5 关键接入设备的更新、提高业务稳定性</w:t>
      </w:r>
      <w:bookmarkEnd w:id="11"/>
    </w:p>
    <w:p w14:paraId="0FBAEA98">
      <w:pPr>
        <w:spacing w:line="360" w:lineRule="auto"/>
        <w:ind w:firstLine="420"/>
        <w:rPr>
          <w:rFonts w:hint="eastAsia" w:ascii="宋体" w:hAnsi="宋体" w:cs="宋体"/>
          <w:szCs w:val="24"/>
        </w:rPr>
      </w:pPr>
      <w:r>
        <w:rPr>
          <w:rFonts w:hint="eastAsia" w:ascii="宋体" w:hAnsi="宋体" w:cs="宋体"/>
          <w:szCs w:val="24"/>
        </w:rPr>
        <w:t>网络接入设备支持极速接入、</w:t>
      </w:r>
      <w:r>
        <w:rPr>
          <w:rFonts w:hint="eastAsia" w:ascii="宋体" w:hAnsi="宋体" w:cs="宋体"/>
          <w:szCs w:val="24"/>
          <w:lang w:eastAsia="zh-TW"/>
        </w:rPr>
        <w:t>多样的安全控制</w:t>
      </w:r>
      <w:r>
        <w:rPr>
          <w:rFonts w:hint="eastAsia" w:ascii="宋体" w:hAnsi="宋体" w:cs="宋体"/>
          <w:szCs w:val="24"/>
        </w:rPr>
        <w:t>、智能堆叠和网络智能运维，具备更高性能和更丰富的业务处理能力，能够极大的提高业务的稳定性，保障我院为患者提供更好的服务。</w:t>
      </w:r>
    </w:p>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PingFang SC Semibold">
    <w:altName w:val="微软雅黑"/>
    <w:panose1 w:val="00000000000000000000"/>
    <w:charset w:val="86"/>
    <w:family w:val="swiss"/>
    <w:pitch w:val="default"/>
    <w:sig w:usb0="00000000" w:usb1="00000000" w:usb2="00000017"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019358"/>
    </w:sdtPr>
    <w:sdtContent>
      <w:p w14:paraId="53AA69CE">
        <w:pPr>
          <w:pStyle w:val="8"/>
          <w:jc w:val="center"/>
          <w:rPr>
            <w:rFonts w:hint="eastAsia"/>
          </w:rPr>
        </w:pPr>
        <w:r>
          <w:fldChar w:fldCharType="begin"/>
        </w:r>
        <w:r>
          <w:instrText xml:space="preserve">PAGE   \* MERGEFORMAT</w:instrText>
        </w:r>
        <w:r>
          <w:fldChar w:fldCharType="separate"/>
        </w:r>
        <w:r>
          <w:rPr>
            <w:lang w:val="zh-CN"/>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193019"/>
    </w:sdtPr>
    <w:sdtContent>
      <w:p w14:paraId="51A6A51E">
        <w:pPr>
          <w:pStyle w:val="8"/>
          <w:jc w:val="center"/>
          <w:rPr>
            <w:rFonts w:hint="eastAsia"/>
          </w:rPr>
        </w:pPr>
        <w:r>
          <w:fldChar w:fldCharType="begin"/>
        </w:r>
        <w:r>
          <w:instrText xml:space="preserve">PAGE   \* MERGEFORMAT</w:instrText>
        </w:r>
        <w:r>
          <w:fldChar w:fldCharType="separate"/>
        </w:r>
        <w:r>
          <w:rPr>
            <w:lang w:val="zh-CN"/>
          </w:rPr>
          <w:t>1</w:t>
        </w:r>
        <w:r>
          <w:fldChar w:fldCharType="end"/>
        </w:r>
      </w:p>
    </w:sdtContent>
  </w:sdt>
  <w:p w14:paraId="011959A0">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0080">
    <w:pPr>
      <w:pStyle w:val="9"/>
      <w:jc w:val="left"/>
      <w:rPr>
        <w:rFonts w:hint="eastAsia"/>
      </w:rPr>
    </w:pPr>
    <w:r>
      <w:drawing>
        <wp:inline distT="0" distB="0" distL="0" distR="0">
          <wp:extent cx="1617980" cy="318135"/>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672499" cy="3292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40A8E"/>
    <w:multiLevelType w:val="multilevel"/>
    <w:tmpl w:val="72C40A8E"/>
    <w:lvl w:ilvl="0" w:tentative="0">
      <w:start w:val="1"/>
      <w:numFmt w:val="decimal"/>
      <w:pStyle w:val="31"/>
      <w:lvlText w:val="%1."/>
      <w:lvlJc w:val="left"/>
      <w:pPr>
        <w:ind w:left="425" w:hanging="425"/>
      </w:pPr>
    </w:lvl>
    <w:lvl w:ilvl="1" w:tentative="0">
      <w:start w:val="1"/>
      <w:numFmt w:val="decimal"/>
      <w:pStyle w:val="32"/>
      <w:lvlText w:val="%1.%2."/>
      <w:lvlJc w:val="left"/>
      <w:pPr>
        <w:ind w:left="567" w:hanging="567"/>
      </w:pPr>
    </w:lvl>
    <w:lvl w:ilvl="2" w:tentative="0">
      <w:start w:val="1"/>
      <w:numFmt w:val="decimal"/>
      <w:pStyle w:val="33"/>
      <w:lvlText w:val="%1.%2.%3."/>
      <w:lvlJc w:val="left"/>
      <w:pPr>
        <w:ind w:left="709" w:hanging="709"/>
      </w:pPr>
    </w:lvl>
    <w:lvl w:ilvl="3" w:tentative="0">
      <w:start w:val="1"/>
      <w:numFmt w:val="decimal"/>
      <w:pStyle w:val="34"/>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N2QyYWRlNzM3OGE4NDgyNmFiNmQ5YmIyOGRhMzIifQ=="/>
  </w:docVars>
  <w:rsids>
    <w:rsidRoot w:val="00712E13"/>
    <w:rsid w:val="000031D4"/>
    <w:rsid w:val="00012F24"/>
    <w:rsid w:val="00054393"/>
    <w:rsid w:val="000753B3"/>
    <w:rsid w:val="000C5A2E"/>
    <w:rsid w:val="000E7220"/>
    <w:rsid w:val="000F0B0C"/>
    <w:rsid w:val="000F46A5"/>
    <w:rsid w:val="00132C90"/>
    <w:rsid w:val="001D43E7"/>
    <w:rsid w:val="00206DC3"/>
    <w:rsid w:val="00230EFE"/>
    <w:rsid w:val="00240056"/>
    <w:rsid w:val="003216D1"/>
    <w:rsid w:val="0034637B"/>
    <w:rsid w:val="00355C2C"/>
    <w:rsid w:val="003B6C5E"/>
    <w:rsid w:val="003C56BE"/>
    <w:rsid w:val="003F301A"/>
    <w:rsid w:val="0044403C"/>
    <w:rsid w:val="0045171E"/>
    <w:rsid w:val="004641E0"/>
    <w:rsid w:val="004D2B78"/>
    <w:rsid w:val="004F337E"/>
    <w:rsid w:val="00515093"/>
    <w:rsid w:val="00533EB0"/>
    <w:rsid w:val="0055044A"/>
    <w:rsid w:val="005D17CF"/>
    <w:rsid w:val="005E0B5D"/>
    <w:rsid w:val="005F26FD"/>
    <w:rsid w:val="00641C3B"/>
    <w:rsid w:val="006E4A62"/>
    <w:rsid w:val="006F017F"/>
    <w:rsid w:val="006F5241"/>
    <w:rsid w:val="00712E13"/>
    <w:rsid w:val="00742935"/>
    <w:rsid w:val="00747401"/>
    <w:rsid w:val="00755574"/>
    <w:rsid w:val="00792618"/>
    <w:rsid w:val="007E3C9E"/>
    <w:rsid w:val="007F3026"/>
    <w:rsid w:val="00813401"/>
    <w:rsid w:val="00825555"/>
    <w:rsid w:val="00825B2B"/>
    <w:rsid w:val="00847DFD"/>
    <w:rsid w:val="008521A9"/>
    <w:rsid w:val="00853CAF"/>
    <w:rsid w:val="00872F8F"/>
    <w:rsid w:val="00880DA7"/>
    <w:rsid w:val="008A02DE"/>
    <w:rsid w:val="008B6783"/>
    <w:rsid w:val="008C4BF0"/>
    <w:rsid w:val="0097085C"/>
    <w:rsid w:val="009D206B"/>
    <w:rsid w:val="00A31D73"/>
    <w:rsid w:val="00A77E79"/>
    <w:rsid w:val="00AE3B74"/>
    <w:rsid w:val="00AE6631"/>
    <w:rsid w:val="00B017F6"/>
    <w:rsid w:val="00B11826"/>
    <w:rsid w:val="00B5648C"/>
    <w:rsid w:val="00B67A71"/>
    <w:rsid w:val="00BD5B01"/>
    <w:rsid w:val="00BE230B"/>
    <w:rsid w:val="00BE4F29"/>
    <w:rsid w:val="00C12F68"/>
    <w:rsid w:val="00C346E8"/>
    <w:rsid w:val="00C473C3"/>
    <w:rsid w:val="00CA4FF5"/>
    <w:rsid w:val="00D27D5B"/>
    <w:rsid w:val="00D41581"/>
    <w:rsid w:val="00D61029"/>
    <w:rsid w:val="00D7106A"/>
    <w:rsid w:val="00DA1CAD"/>
    <w:rsid w:val="00DB6003"/>
    <w:rsid w:val="00DE621C"/>
    <w:rsid w:val="00E07889"/>
    <w:rsid w:val="00E228CA"/>
    <w:rsid w:val="00E4315A"/>
    <w:rsid w:val="00E82E04"/>
    <w:rsid w:val="00EE69BA"/>
    <w:rsid w:val="00F537D7"/>
    <w:rsid w:val="00F656A6"/>
    <w:rsid w:val="00FA589D"/>
    <w:rsid w:val="00FF1F62"/>
    <w:rsid w:val="01934ACD"/>
    <w:rsid w:val="01F221FA"/>
    <w:rsid w:val="03563CB7"/>
    <w:rsid w:val="070D0B30"/>
    <w:rsid w:val="095664BF"/>
    <w:rsid w:val="0D6D057B"/>
    <w:rsid w:val="0E927B6D"/>
    <w:rsid w:val="18FA79E4"/>
    <w:rsid w:val="1A3F6DFB"/>
    <w:rsid w:val="22511DC1"/>
    <w:rsid w:val="27BB6445"/>
    <w:rsid w:val="28702875"/>
    <w:rsid w:val="2A3C1305"/>
    <w:rsid w:val="2ABE034B"/>
    <w:rsid w:val="2BA243E6"/>
    <w:rsid w:val="2C4955AF"/>
    <w:rsid w:val="39A14F85"/>
    <w:rsid w:val="3F2531F7"/>
    <w:rsid w:val="415D09A3"/>
    <w:rsid w:val="420C0041"/>
    <w:rsid w:val="43934AC5"/>
    <w:rsid w:val="43A0005B"/>
    <w:rsid w:val="43A34DA0"/>
    <w:rsid w:val="44A973E3"/>
    <w:rsid w:val="48160602"/>
    <w:rsid w:val="4BCF5981"/>
    <w:rsid w:val="4C3E2B07"/>
    <w:rsid w:val="4D6158B7"/>
    <w:rsid w:val="4DCE4314"/>
    <w:rsid w:val="4E724CEA"/>
    <w:rsid w:val="50731A41"/>
    <w:rsid w:val="52C6754C"/>
    <w:rsid w:val="54AB2D04"/>
    <w:rsid w:val="55C26090"/>
    <w:rsid w:val="592926FA"/>
    <w:rsid w:val="5B4041A6"/>
    <w:rsid w:val="5C0A4135"/>
    <w:rsid w:val="5C617A1B"/>
    <w:rsid w:val="615D5386"/>
    <w:rsid w:val="68DA62BB"/>
    <w:rsid w:val="6AC10733"/>
    <w:rsid w:val="6B506D91"/>
    <w:rsid w:val="6CC369E5"/>
    <w:rsid w:val="6E9A3590"/>
    <w:rsid w:val="79FC4D31"/>
    <w:rsid w:val="7A8C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spacing w:before="260" w:after="260" w:line="416" w:lineRule="auto"/>
      <w:outlineLvl w:val="1"/>
    </w:pPr>
    <w:rPr>
      <w:rFonts w:asciiTheme="majorHAnsi" w:hAnsiTheme="majorHAnsi" w:cstheme="majorBidi"/>
      <w:sz w:val="32"/>
      <w:szCs w:val="32"/>
    </w:rPr>
  </w:style>
  <w:style w:type="paragraph" w:styleId="4">
    <w:name w:val="heading 3"/>
    <w:basedOn w:val="1"/>
    <w:next w:val="1"/>
    <w:link w:val="2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link w:val="27"/>
    <w:qFormat/>
    <w:uiPriority w:val="0"/>
    <w:pPr>
      <w:snapToGrid w:val="0"/>
      <w:spacing w:after="120"/>
    </w:pPr>
    <w:rPr>
      <w:rFonts w:ascii="Times New Roman" w:hAnsi="Times New Roman" w:eastAsia="方正仿宋_GB2312" w:cs="Times New Roman"/>
    </w:r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8">
    <w:name w:val="footer"/>
    <w:basedOn w:val="1"/>
    <w:link w:val="19"/>
    <w:unhideWhenUsed/>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2">
    <w:name w:val="Normal (Web)"/>
    <w:basedOn w:val="1"/>
    <w:semiHidden/>
    <w:unhideWhenUsed/>
    <w:qFormat/>
    <w:uiPriority w:val="99"/>
    <w:pPr>
      <w:spacing w:beforeAutospacing="1" w:afterAutospacing="1"/>
      <w:jc w:val="left"/>
    </w:pPr>
    <w:rPr>
      <w:rFonts w:cs="Times New Roman"/>
      <w:kern w:val="0"/>
    </w:rPr>
  </w:style>
  <w:style w:type="paragraph" w:styleId="13">
    <w:name w:val="Body Text First Indent"/>
    <w:basedOn w:val="6"/>
    <w:link w:val="29"/>
    <w:semiHidden/>
    <w:unhideWhenUsed/>
    <w:qFormat/>
    <w:uiPriority w:val="99"/>
    <w:pPr>
      <w:snapToGrid/>
      <w:ind w:firstLine="420" w:firstLineChars="100"/>
    </w:pPr>
    <w:rPr>
      <w:rFonts w:asciiTheme="minorHAnsi" w:hAnsiTheme="minorHAnsi" w:eastAsiaTheme="minorEastAsia" w:cstheme="minorBidi"/>
      <w:sz w:val="21"/>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字符"/>
    <w:basedOn w:val="16"/>
    <w:link w:val="9"/>
    <w:qFormat/>
    <w:uiPriority w:val="99"/>
    <w:rPr>
      <w:sz w:val="18"/>
      <w:szCs w:val="18"/>
    </w:rPr>
  </w:style>
  <w:style w:type="character" w:customStyle="1" w:styleId="19">
    <w:name w:val="页脚 字符"/>
    <w:basedOn w:val="16"/>
    <w:link w:val="8"/>
    <w:qFormat/>
    <w:uiPriority w:val="99"/>
    <w:rPr>
      <w:sz w:val="18"/>
      <w:szCs w:val="18"/>
    </w:rPr>
  </w:style>
  <w:style w:type="character" w:customStyle="1" w:styleId="20">
    <w:name w:val="标题 1 字符"/>
    <w:basedOn w:val="16"/>
    <w:link w:val="2"/>
    <w:qFormat/>
    <w:uiPriority w:val="9"/>
    <w:rPr>
      <w:rFonts w:eastAsia="宋体" w:asciiTheme="minorHAnsi" w:hAnsiTheme="minorHAnsi"/>
      <w:b/>
      <w:bCs/>
      <w:kern w:val="44"/>
      <w:sz w:val="44"/>
      <w:szCs w:val="44"/>
    </w:rPr>
  </w:style>
  <w:style w:type="character" w:customStyle="1" w:styleId="21">
    <w:name w:val="标题 2 字符"/>
    <w:basedOn w:val="16"/>
    <w:link w:val="3"/>
    <w:qFormat/>
    <w:uiPriority w:val="9"/>
    <w:rPr>
      <w:rFonts w:eastAsia="宋体" w:asciiTheme="majorHAnsi" w:hAnsiTheme="majorHAnsi" w:cstheme="majorBidi"/>
      <w:kern w:val="44"/>
      <w:sz w:val="32"/>
      <w:szCs w:val="32"/>
    </w:rPr>
  </w:style>
  <w:style w:type="paragraph" w:customStyle="1" w:styleId="22">
    <w:name w:val="规范正文"/>
    <w:qFormat/>
    <w:uiPriority w:val="0"/>
    <w:pPr>
      <w:adjustRightInd w:val="0"/>
      <w:spacing w:beforeLines="50" w:afterLines="50" w:line="360" w:lineRule="auto"/>
      <w:ind w:firstLine="200" w:firstLineChars="200"/>
      <w:textAlignment w:val="baseline"/>
    </w:pPr>
    <w:rPr>
      <w:rFonts w:ascii="Arial" w:hAnsi="Arial" w:eastAsia="宋体" w:cs="Times New Roman"/>
      <w:sz w:val="24"/>
      <w:lang w:val="en-US" w:eastAsia="zh-CN" w:bidi="ar-SA"/>
    </w:rPr>
  </w:style>
  <w:style w:type="paragraph" w:styleId="23">
    <w:name w:val="List Paragraph"/>
    <w:basedOn w:val="1"/>
    <w:qFormat/>
    <w:uiPriority w:val="34"/>
    <w:pPr>
      <w:ind w:firstLine="420" w:firstLineChars="200"/>
    </w:pPr>
  </w:style>
  <w:style w:type="character" w:customStyle="1" w:styleId="24">
    <w:name w:val="my正文 Char"/>
    <w:link w:val="25"/>
    <w:qFormat/>
    <w:uiPriority w:val="0"/>
    <w:rPr>
      <w:sz w:val="24"/>
      <w:lang w:val="en-US" w:eastAsia="zh-CN"/>
    </w:rPr>
  </w:style>
  <w:style w:type="paragraph" w:customStyle="1" w:styleId="25">
    <w:name w:val="my正文"/>
    <w:basedOn w:val="1"/>
    <w:link w:val="24"/>
    <w:qFormat/>
    <w:uiPriority w:val="0"/>
    <w:pPr>
      <w:widowControl/>
      <w:spacing w:line="360" w:lineRule="auto"/>
      <w:ind w:firstLine="480" w:firstLineChars="200"/>
      <w:jc w:val="left"/>
    </w:pPr>
  </w:style>
  <w:style w:type="character" w:customStyle="1" w:styleId="26">
    <w:name w:val="标题 3 字符"/>
    <w:basedOn w:val="16"/>
    <w:link w:val="4"/>
    <w:semiHidden/>
    <w:qFormat/>
    <w:uiPriority w:val="9"/>
    <w:rPr>
      <w:b/>
      <w:bCs/>
      <w:sz w:val="32"/>
      <w:szCs w:val="32"/>
    </w:rPr>
  </w:style>
  <w:style w:type="character" w:customStyle="1" w:styleId="27">
    <w:name w:val="正文文本 字符"/>
    <w:basedOn w:val="16"/>
    <w:link w:val="6"/>
    <w:qFormat/>
    <w:uiPriority w:val="0"/>
    <w:rPr>
      <w:rFonts w:ascii="Times New Roman" w:hAnsi="Times New Roman" w:eastAsia="方正仿宋_GB2312" w:cs="Times New Roman"/>
      <w:sz w:val="24"/>
    </w:rPr>
  </w:style>
  <w:style w:type="paragraph" w:customStyle="1" w:styleId="28">
    <w:name w:val="0正文"/>
    <w:basedOn w:val="1"/>
    <w:qFormat/>
    <w:uiPriority w:val="99"/>
    <w:pPr>
      <w:snapToGrid w:val="0"/>
      <w:spacing w:line="336" w:lineRule="auto"/>
      <w:ind w:firstLine="480" w:firstLineChars="200"/>
    </w:pPr>
    <w:rPr>
      <w:rFonts w:ascii="Times New Roman" w:hAnsi="Times New Roman" w:eastAsia="方正仿宋_GB2312" w:cs="Times New Roman"/>
    </w:rPr>
  </w:style>
  <w:style w:type="character" w:customStyle="1" w:styleId="29">
    <w:name w:val="正文文本首行缩进 字符"/>
    <w:basedOn w:val="27"/>
    <w:link w:val="13"/>
    <w:semiHidden/>
    <w:qFormat/>
    <w:uiPriority w:val="99"/>
    <w:rPr>
      <w:rFonts w:ascii="Times New Roman" w:hAnsi="Times New Roman" w:eastAsia="方正仿宋_GB2312" w:cs="Times New Roman"/>
      <w:sz w:val="24"/>
    </w:rPr>
  </w:style>
  <w:style w:type="table" w:customStyle="1" w:styleId="30">
    <w:name w:val="网格型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qax标题1"/>
    <w:basedOn w:val="2"/>
    <w:qFormat/>
    <w:uiPriority w:val="0"/>
    <w:pPr>
      <w:numPr>
        <w:ilvl w:val="0"/>
        <w:numId w:val="1"/>
      </w:numPr>
      <w:spacing w:before="240" w:beforeLines="100" w:after="240" w:afterLines="100" w:line="240" w:lineRule="auto"/>
      <w:jc w:val="left"/>
    </w:pPr>
    <w:rPr>
      <w:rFonts w:ascii="黑体" w:hAnsi="黑体" w:eastAsia="黑体" w:cs="微软雅黑"/>
      <w:color w:val="000000"/>
      <w:sz w:val="30"/>
      <w:szCs w:val="30"/>
      <w:u w:color="000000"/>
    </w:rPr>
  </w:style>
  <w:style w:type="paragraph" w:customStyle="1" w:styleId="32">
    <w:name w:val="qax标题2"/>
    <w:basedOn w:val="3"/>
    <w:qFormat/>
    <w:uiPriority w:val="0"/>
    <w:pPr>
      <w:numPr>
        <w:ilvl w:val="1"/>
        <w:numId w:val="1"/>
      </w:numPr>
      <w:tabs>
        <w:tab w:val="left" w:pos="567"/>
      </w:tabs>
      <w:spacing w:before="100" w:beforeLines="100" w:after="100" w:afterLines="100" w:line="240" w:lineRule="auto"/>
      <w:jc w:val="left"/>
    </w:pPr>
    <w:rPr>
      <w:rFonts w:ascii="黑体" w:hAnsi="黑体" w:eastAsia="黑体" w:cs="Arial"/>
      <w:b/>
      <w:bCs/>
      <w:color w:val="000000"/>
      <w:sz w:val="28"/>
      <w:szCs w:val="28"/>
      <w:u w:color="000000"/>
    </w:rPr>
  </w:style>
  <w:style w:type="paragraph" w:customStyle="1" w:styleId="33">
    <w:name w:val="qax标题3"/>
    <w:basedOn w:val="4"/>
    <w:qFormat/>
    <w:uiPriority w:val="0"/>
    <w:pPr>
      <w:numPr>
        <w:ilvl w:val="2"/>
        <w:numId w:val="1"/>
      </w:numPr>
      <w:spacing w:before="100" w:beforeLines="100" w:after="100" w:afterLines="100" w:line="240" w:lineRule="auto"/>
      <w:jc w:val="left"/>
    </w:pPr>
    <w:rPr>
      <w:rFonts w:ascii="黑体" w:hAnsi="黑体" w:eastAsia="黑体" w:cs="Arial"/>
      <w:color w:val="000000"/>
      <w:sz w:val="24"/>
      <w:szCs w:val="24"/>
      <w:u w:color="000000"/>
    </w:rPr>
  </w:style>
  <w:style w:type="paragraph" w:customStyle="1" w:styleId="34">
    <w:name w:val="qax标题4"/>
    <w:basedOn w:val="5"/>
    <w:qFormat/>
    <w:uiPriority w:val="0"/>
    <w:pPr>
      <w:numPr>
        <w:ilvl w:val="3"/>
        <w:numId w:val="1"/>
      </w:numPr>
      <w:spacing w:before="100" w:beforeLines="100" w:after="100" w:afterLines="100" w:line="240" w:lineRule="auto"/>
      <w:ind w:left="2100" w:hanging="420"/>
      <w:jc w:val="left"/>
    </w:pPr>
    <w:rPr>
      <w:rFonts w:ascii="黑体" w:hAnsi="黑体" w:eastAsia="黑体" w:cs="PingFang SC Semibold"/>
      <w:color w:val="000000"/>
      <w:sz w:val="21"/>
      <w:szCs w:val="21"/>
      <w:u w:color="000000"/>
    </w:rPr>
  </w:style>
  <w:style w:type="character" w:customStyle="1" w:styleId="35">
    <w:name w:val="标题 4 字符"/>
    <w:basedOn w:val="16"/>
    <w:link w:val="5"/>
    <w:semiHidden/>
    <w:qFormat/>
    <w:uiPriority w:val="9"/>
    <w:rPr>
      <w:rFonts w:asciiTheme="majorHAnsi" w:hAnsiTheme="majorHAnsi" w:eastAsiaTheme="majorEastAsia" w:cstheme="majorBidi"/>
      <w:b/>
      <w:bCs/>
      <w:sz w:val="28"/>
      <w:szCs w:val="28"/>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7">
    <w:name w:val="No Spacing"/>
    <w:qFormat/>
    <w:uiPriority w:val="1"/>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38">
    <w:name w:val="正文1"/>
    <w:basedOn w:val="1"/>
    <w:qFormat/>
    <w:uiPriority w:val="0"/>
    <w:pPr>
      <w:spacing w:before="120" w:after="120"/>
      <w:ind w:firstLine="200" w:firstLineChars="200"/>
      <w:jc w:val="left"/>
    </w:pPr>
    <w:rPr>
      <w:rFonts w:ascii="Arial" w:hAnsi="Arial"/>
      <w:szCs w:val="21"/>
    </w:rPr>
  </w:style>
  <w:style w:type="paragraph" w:customStyle="1" w:styleId="39">
    <w:name w:val="列出段落1"/>
    <w:basedOn w:val="1"/>
    <w:unhideWhenUsed/>
    <w:qFormat/>
    <w:uiPriority w:val="34"/>
    <w:pPr>
      <w:ind w:firstLine="420" w:firstLineChars="200"/>
    </w:pPr>
    <w:rPr>
      <w:rFonts w:hint="eastAsia" w:ascii="Cambria" w:hAnsi="Cambria"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89B4-2CB5-46A2-B490-83CD16201BF2}">
  <ds:schemaRefs/>
</ds:datastoreItem>
</file>

<file path=docProps/app.xml><?xml version="1.0" encoding="utf-8"?>
<Properties xmlns="http://schemas.openxmlformats.org/officeDocument/2006/extended-properties" xmlns:vt="http://schemas.openxmlformats.org/officeDocument/2006/docPropsVTypes">
  <Template>Normal</Template>
  <Pages>3</Pages>
  <Words>15233</Words>
  <Characters>16652</Characters>
  <Lines>134</Lines>
  <Paragraphs>37</Paragraphs>
  <TotalTime>85</TotalTime>
  <ScaleCrop>false</ScaleCrop>
  <LinksUpToDate>false</LinksUpToDate>
  <CharactersWithSpaces>16897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2022-04-19T16:26:00Z</dcterms:created>
  <dc:creator>余力</dc:creator>
  <cp:lastModifiedBy>Yuan</cp:lastModifiedBy>
  <dcterms:modified xsi:type="dcterms:W3CDTF">2024-08-12T05:05:41Z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yKvMlCoOvfTzbCBri2jF2lFb5lHqFL/cW2obAXDOZsXoH9hA+UOqAIts1+BUGNituIowucnbgyBLrECPf7ePXGQfNoNTgYdRcxWtmBFM1h5WUjC31jXg3McsMj+xZFDEuuEadO3Zcbu2J5fjbMgmWl/xy1X0I9L8llXfgJc4aMNW0TzKwYCf/LgtqwAh3tEVeG/6PzB8zruqgU5Kbo2WsMBjtzupUVo4adA6YrUEFc0ZAb2VLqpfQwx9HIOLGUdAMItjm7rIPWeuMcgfTiT7i/gqxpSmqtDFVtFu0Q1Kpsrc/u+mGZN9a363EtHHkHuR9DPonQhckIVYo5iyhN+goUcgaKGdIau0w5j0MRzat2FEEviKkrTkSXVGe9g/qOKxXjJTFT5Pe1WD92x4JA53G58IzxsV6hB9R9MuF+/JBtqCndx+lkcHPOpCjxb6yhzldNjKM3rBaTE6uu2gQ2O7iEWN3CZnc7PqXtnprCem4Q=</vt:lpwstr>
  </property>
  <property fmtid="{D5CDD505-2E9C-101B-9397-08002B2CF9AE}" pid="3" name="KSOProductBuildVer">
    <vt:lpwstr>2052-12.1.0.17147</vt:lpwstr>
  </property>
  <property fmtid="{D5CDD505-2E9C-101B-9397-08002B2CF9AE}" pid="4" name="ICV">
    <vt:lpwstr>0EDBF4EAD0784FBEA1D2408C1E607849_12</vt:lpwstr>
  </property>
</Properties>
</file>