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64973">
      <w:pPr>
        <w:pStyle w:val="5"/>
        <w:spacing w:line="400" w:lineRule="atLeast"/>
        <w:jc w:val="center"/>
        <w:rPr>
          <w:rFonts w:hint="eastAsia" w:ascii="微软雅黑" w:hAnsi="微软雅黑" w:eastAsia="微软雅黑" w:cs="微软雅黑"/>
          <w:color w:val="000000"/>
          <w:sz w:val="32"/>
          <w:szCs w:val="32"/>
          <w:lang w:val="en-US" w:eastAsia="zh-CN"/>
        </w:rPr>
      </w:pPr>
      <w:r>
        <w:rPr>
          <w:rFonts w:hint="eastAsia" w:ascii="微软雅黑" w:hAnsi="微软雅黑" w:eastAsia="微软雅黑" w:cs="微软雅黑"/>
          <w:color w:val="000000"/>
          <w:sz w:val="32"/>
          <w:szCs w:val="32"/>
        </w:rPr>
        <w:t>信息化工程监理服务收费标准</w:t>
      </w:r>
      <w:r>
        <w:rPr>
          <w:rFonts w:hint="eastAsia" w:ascii="微软雅黑" w:hAnsi="微软雅黑" w:eastAsia="微软雅黑" w:cs="微软雅黑"/>
          <w:color w:val="000000"/>
          <w:sz w:val="32"/>
          <w:szCs w:val="32"/>
          <w:lang w:val="en-US" w:eastAsia="zh-CN"/>
        </w:rPr>
        <w:t>及技术要求</w:t>
      </w:r>
    </w:p>
    <w:p w14:paraId="492D7E6E">
      <w:pPr>
        <w:pStyle w:val="5"/>
        <w:spacing w:line="400" w:lineRule="atLeast"/>
        <w:ind w:firstLine="220" w:firstLineChars="100"/>
        <w:jc w:val="left"/>
        <w:rPr>
          <w:rFonts w:hint="default" w:ascii="微软雅黑" w:hAnsi="微软雅黑" w:eastAsia="微软雅黑" w:cs="微软雅黑"/>
          <w:b/>
          <w:bCs/>
          <w:color w:val="000000"/>
          <w:sz w:val="22"/>
          <w:szCs w:val="22"/>
          <w:lang w:val="en-US" w:eastAsia="zh-CN"/>
        </w:rPr>
      </w:pPr>
      <w:r>
        <w:rPr>
          <w:rFonts w:hint="eastAsia" w:ascii="微软雅黑" w:hAnsi="微软雅黑" w:eastAsia="微软雅黑" w:cs="微软雅黑"/>
          <w:b/>
          <w:bCs/>
          <w:color w:val="000000"/>
          <w:sz w:val="22"/>
          <w:szCs w:val="22"/>
          <w:lang w:val="en-US" w:eastAsia="zh-CN"/>
        </w:rPr>
        <w:t>1.费率表</w:t>
      </w:r>
      <w:bookmarkStart w:id="0" w:name="_GoBack"/>
      <w:bookmarkEnd w:id="0"/>
    </w:p>
    <w:tbl>
      <w:tblPr>
        <w:tblStyle w:val="6"/>
        <w:tblW w:w="801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565"/>
        <w:gridCol w:w="3260"/>
        <w:gridCol w:w="3186"/>
      </w:tblGrid>
      <w:tr w14:paraId="69B267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5" w:type="dxa"/>
            <w:tcBorders>
              <w:top w:val="outset" w:color="auto" w:sz="6" w:space="0"/>
              <w:left w:val="outset" w:color="auto" w:sz="6" w:space="0"/>
              <w:bottom w:val="outset" w:color="auto" w:sz="6" w:space="0"/>
              <w:right w:val="outset" w:color="auto" w:sz="6" w:space="0"/>
            </w:tcBorders>
          </w:tcPr>
          <w:p w14:paraId="1220CF32">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rPr>
              <w:t>序号</w:t>
            </w:r>
          </w:p>
        </w:tc>
        <w:tc>
          <w:tcPr>
            <w:tcW w:w="3260" w:type="dxa"/>
            <w:tcBorders>
              <w:top w:val="outset" w:color="auto" w:sz="6" w:space="0"/>
              <w:left w:val="outset" w:color="auto" w:sz="6" w:space="0"/>
              <w:bottom w:val="outset" w:color="auto" w:sz="6" w:space="0"/>
              <w:right w:val="outset" w:color="auto" w:sz="6" w:space="0"/>
            </w:tcBorders>
          </w:tcPr>
          <w:p w14:paraId="35FE0CC9">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rPr>
              <w:t>计费额（单位：万元）</w:t>
            </w:r>
          </w:p>
        </w:tc>
        <w:tc>
          <w:tcPr>
            <w:tcW w:w="3186" w:type="dxa"/>
            <w:tcBorders>
              <w:top w:val="outset" w:color="auto" w:sz="6" w:space="0"/>
              <w:left w:val="outset" w:color="auto" w:sz="6" w:space="0"/>
              <w:bottom w:val="outset" w:color="auto" w:sz="6" w:space="0"/>
              <w:right w:val="outset" w:color="auto" w:sz="6" w:space="0"/>
            </w:tcBorders>
          </w:tcPr>
          <w:p w14:paraId="401004FA">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rPr>
              <w:t>收费费率（%）</w:t>
            </w:r>
          </w:p>
        </w:tc>
      </w:tr>
      <w:tr w14:paraId="0457B3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5" w:type="dxa"/>
            <w:tcBorders>
              <w:top w:val="outset" w:color="auto" w:sz="6" w:space="0"/>
              <w:left w:val="outset" w:color="auto" w:sz="6" w:space="0"/>
              <w:bottom w:val="outset" w:color="auto" w:sz="6" w:space="0"/>
              <w:right w:val="outset" w:color="auto" w:sz="6" w:space="0"/>
            </w:tcBorders>
            <w:vAlign w:val="top"/>
          </w:tcPr>
          <w:p w14:paraId="6A01B813">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rPr>
              <w:t>1</w:t>
            </w:r>
          </w:p>
        </w:tc>
        <w:tc>
          <w:tcPr>
            <w:tcW w:w="3260" w:type="dxa"/>
            <w:tcBorders>
              <w:top w:val="outset" w:color="auto" w:sz="6" w:space="0"/>
              <w:left w:val="outset" w:color="auto" w:sz="6" w:space="0"/>
              <w:bottom w:val="outset" w:color="auto" w:sz="6" w:space="0"/>
              <w:right w:val="outset" w:color="auto" w:sz="6" w:space="0"/>
            </w:tcBorders>
            <w:vAlign w:val="top"/>
          </w:tcPr>
          <w:p w14:paraId="2C8749D3">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lang w:val="en-US" w:eastAsia="zh-CN"/>
              </w:rPr>
              <w:t>小</w:t>
            </w:r>
            <w:r>
              <w:rPr>
                <w:rFonts w:hint="eastAsia" w:ascii="微软雅黑" w:hAnsi="微软雅黑" w:eastAsia="微软雅黑" w:cs="微软雅黑"/>
                <w:color w:val="000000"/>
              </w:rPr>
              <w:t>于100</w:t>
            </w:r>
          </w:p>
        </w:tc>
        <w:tc>
          <w:tcPr>
            <w:tcW w:w="3186" w:type="dxa"/>
            <w:tcBorders>
              <w:top w:val="outset" w:color="auto" w:sz="6" w:space="0"/>
              <w:left w:val="outset" w:color="auto" w:sz="6" w:space="0"/>
              <w:bottom w:val="outset" w:color="auto" w:sz="6" w:space="0"/>
              <w:right w:val="outset" w:color="auto" w:sz="6" w:space="0"/>
            </w:tcBorders>
            <w:vAlign w:val="bottom"/>
          </w:tcPr>
          <w:p w14:paraId="41D47C6B">
            <w:pPr>
              <w:pStyle w:val="5"/>
              <w:spacing w:line="400" w:lineRule="atLeast"/>
              <w:jc w:val="center"/>
              <w:rPr>
                <w:rFonts w:hint="eastAsia" w:ascii="微软雅黑" w:hAnsi="微软雅黑" w:eastAsia="微软雅黑" w:cs="微软雅黑"/>
                <w:color w:val="000000"/>
              </w:rPr>
            </w:pPr>
          </w:p>
        </w:tc>
      </w:tr>
      <w:tr w14:paraId="0FDB2C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5" w:type="dxa"/>
            <w:tcBorders>
              <w:top w:val="outset" w:color="auto" w:sz="6" w:space="0"/>
              <w:left w:val="outset" w:color="auto" w:sz="6" w:space="0"/>
              <w:bottom w:val="outset" w:color="auto" w:sz="6" w:space="0"/>
              <w:right w:val="outset" w:color="auto" w:sz="6" w:space="0"/>
            </w:tcBorders>
          </w:tcPr>
          <w:p w14:paraId="4483E292">
            <w:pPr>
              <w:pStyle w:val="5"/>
              <w:spacing w:line="40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val="en-US" w:eastAsia="zh-CN"/>
              </w:rPr>
              <w:t>2</w:t>
            </w:r>
          </w:p>
        </w:tc>
        <w:tc>
          <w:tcPr>
            <w:tcW w:w="3260" w:type="dxa"/>
            <w:tcBorders>
              <w:top w:val="outset" w:color="auto" w:sz="6" w:space="0"/>
              <w:left w:val="outset" w:color="auto" w:sz="6" w:space="0"/>
              <w:bottom w:val="outset" w:color="auto" w:sz="6" w:space="0"/>
              <w:right w:val="outset" w:color="auto" w:sz="6" w:space="0"/>
            </w:tcBorders>
          </w:tcPr>
          <w:p w14:paraId="73A5C8DF">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rPr>
              <w:t>大于等于100小于200</w:t>
            </w:r>
          </w:p>
        </w:tc>
        <w:tc>
          <w:tcPr>
            <w:tcW w:w="3186" w:type="dxa"/>
            <w:tcBorders>
              <w:top w:val="outset" w:color="auto" w:sz="6" w:space="0"/>
              <w:left w:val="outset" w:color="auto" w:sz="6" w:space="0"/>
              <w:bottom w:val="outset" w:color="auto" w:sz="6" w:space="0"/>
              <w:right w:val="outset" w:color="auto" w:sz="6" w:space="0"/>
            </w:tcBorders>
            <w:vAlign w:val="bottom"/>
          </w:tcPr>
          <w:p w14:paraId="1CF8CA90">
            <w:pPr>
              <w:pStyle w:val="5"/>
              <w:spacing w:line="400" w:lineRule="atLeast"/>
              <w:jc w:val="center"/>
              <w:rPr>
                <w:rFonts w:hint="eastAsia" w:ascii="微软雅黑" w:hAnsi="微软雅黑" w:eastAsia="微软雅黑" w:cs="微软雅黑"/>
                <w:color w:val="000000"/>
              </w:rPr>
            </w:pPr>
          </w:p>
        </w:tc>
      </w:tr>
      <w:tr w14:paraId="1B3F0B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5" w:type="dxa"/>
            <w:tcBorders>
              <w:top w:val="outset" w:color="auto" w:sz="6" w:space="0"/>
              <w:left w:val="outset" w:color="auto" w:sz="6" w:space="0"/>
              <w:bottom w:val="outset" w:color="auto" w:sz="6" w:space="0"/>
              <w:right w:val="outset" w:color="auto" w:sz="6" w:space="0"/>
            </w:tcBorders>
          </w:tcPr>
          <w:p w14:paraId="0175363B">
            <w:pPr>
              <w:pStyle w:val="5"/>
              <w:spacing w:line="40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val="en-US" w:eastAsia="zh-CN"/>
              </w:rPr>
              <w:t>3</w:t>
            </w:r>
          </w:p>
        </w:tc>
        <w:tc>
          <w:tcPr>
            <w:tcW w:w="3260" w:type="dxa"/>
            <w:tcBorders>
              <w:top w:val="outset" w:color="auto" w:sz="6" w:space="0"/>
              <w:left w:val="outset" w:color="auto" w:sz="6" w:space="0"/>
              <w:bottom w:val="outset" w:color="auto" w:sz="6" w:space="0"/>
              <w:right w:val="outset" w:color="auto" w:sz="6" w:space="0"/>
            </w:tcBorders>
          </w:tcPr>
          <w:p w14:paraId="2BE6217C">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rPr>
              <w:t>大于等于200小于300</w:t>
            </w:r>
          </w:p>
        </w:tc>
        <w:tc>
          <w:tcPr>
            <w:tcW w:w="3186" w:type="dxa"/>
            <w:tcBorders>
              <w:top w:val="outset" w:color="auto" w:sz="6" w:space="0"/>
              <w:left w:val="outset" w:color="auto" w:sz="6" w:space="0"/>
              <w:bottom w:val="outset" w:color="auto" w:sz="6" w:space="0"/>
              <w:right w:val="outset" w:color="auto" w:sz="6" w:space="0"/>
            </w:tcBorders>
            <w:vAlign w:val="bottom"/>
          </w:tcPr>
          <w:p w14:paraId="70DCCEEE">
            <w:pPr>
              <w:pStyle w:val="5"/>
              <w:spacing w:line="400" w:lineRule="atLeast"/>
              <w:jc w:val="center"/>
              <w:rPr>
                <w:rFonts w:hint="eastAsia" w:ascii="微软雅黑" w:hAnsi="微软雅黑" w:eastAsia="微软雅黑" w:cs="微软雅黑"/>
                <w:color w:val="000000"/>
              </w:rPr>
            </w:pPr>
          </w:p>
        </w:tc>
      </w:tr>
      <w:tr w14:paraId="7D3583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5" w:type="dxa"/>
            <w:tcBorders>
              <w:top w:val="outset" w:color="auto" w:sz="6" w:space="0"/>
              <w:left w:val="outset" w:color="auto" w:sz="6" w:space="0"/>
              <w:bottom w:val="outset" w:color="auto" w:sz="6" w:space="0"/>
              <w:right w:val="outset" w:color="auto" w:sz="6" w:space="0"/>
            </w:tcBorders>
          </w:tcPr>
          <w:p w14:paraId="4CCF8B30">
            <w:pPr>
              <w:pStyle w:val="5"/>
              <w:spacing w:line="40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val="en-US" w:eastAsia="zh-CN"/>
              </w:rPr>
              <w:t>4</w:t>
            </w:r>
          </w:p>
        </w:tc>
        <w:tc>
          <w:tcPr>
            <w:tcW w:w="3260" w:type="dxa"/>
            <w:tcBorders>
              <w:top w:val="outset" w:color="auto" w:sz="6" w:space="0"/>
              <w:left w:val="outset" w:color="auto" w:sz="6" w:space="0"/>
              <w:bottom w:val="outset" w:color="auto" w:sz="6" w:space="0"/>
              <w:right w:val="outset" w:color="auto" w:sz="6" w:space="0"/>
            </w:tcBorders>
          </w:tcPr>
          <w:p w14:paraId="3C8EFC29">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rPr>
              <w:t>大于等于300小于400</w:t>
            </w:r>
          </w:p>
        </w:tc>
        <w:tc>
          <w:tcPr>
            <w:tcW w:w="3186" w:type="dxa"/>
            <w:tcBorders>
              <w:top w:val="outset" w:color="auto" w:sz="6" w:space="0"/>
              <w:left w:val="outset" w:color="auto" w:sz="6" w:space="0"/>
              <w:bottom w:val="outset" w:color="auto" w:sz="6" w:space="0"/>
              <w:right w:val="outset" w:color="auto" w:sz="6" w:space="0"/>
            </w:tcBorders>
            <w:vAlign w:val="bottom"/>
          </w:tcPr>
          <w:p w14:paraId="1FFDF702">
            <w:pPr>
              <w:pStyle w:val="5"/>
              <w:spacing w:line="400" w:lineRule="atLeast"/>
              <w:jc w:val="center"/>
              <w:rPr>
                <w:rFonts w:hint="eastAsia" w:ascii="微软雅黑" w:hAnsi="微软雅黑" w:eastAsia="微软雅黑" w:cs="微软雅黑"/>
                <w:color w:val="000000"/>
              </w:rPr>
            </w:pPr>
          </w:p>
        </w:tc>
      </w:tr>
      <w:tr w14:paraId="126CCF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5" w:type="dxa"/>
            <w:tcBorders>
              <w:top w:val="outset" w:color="auto" w:sz="6" w:space="0"/>
              <w:left w:val="outset" w:color="auto" w:sz="6" w:space="0"/>
              <w:bottom w:val="outset" w:color="auto" w:sz="6" w:space="0"/>
              <w:right w:val="outset" w:color="auto" w:sz="6" w:space="0"/>
            </w:tcBorders>
          </w:tcPr>
          <w:p w14:paraId="5BAC996B">
            <w:pPr>
              <w:pStyle w:val="5"/>
              <w:spacing w:line="40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val="en-US" w:eastAsia="zh-CN"/>
              </w:rPr>
              <w:t>5</w:t>
            </w:r>
          </w:p>
        </w:tc>
        <w:tc>
          <w:tcPr>
            <w:tcW w:w="3260" w:type="dxa"/>
            <w:tcBorders>
              <w:top w:val="outset" w:color="auto" w:sz="6" w:space="0"/>
              <w:left w:val="outset" w:color="auto" w:sz="6" w:space="0"/>
              <w:bottom w:val="outset" w:color="auto" w:sz="6" w:space="0"/>
              <w:right w:val="outset" w:color="auto" w:sz="6" w:space="0"/>
            </w:tcBorders>
          </w:tcPr>
          <w:p w14:paraId="59BE282A">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rPr>
              <w:t>大于等于400小于500</w:t>
            </w:r>
          </w:p>
        </w:tc>
        <w:tc>
          <w:tcPr>
            <w:tcW w:w="3186" w:type="dxa"/>
            <w:tcBorders>
              <w:top w:val="outset" w:color="auto" w:sz="6" w:space="0"/>
              <w:left w:val="outset" w:color="auto" w:sz="6" w:space="0"/>
              <w:bottom w:val="outset" w:color="auto" w:sz="6" w:space="0"/>
              <w:right w:val="outset" w:color="auto" w:sz="6" w:space="0"/>
            </w:tcBorders>
            <w:vAlign w:val="bottom"/>
          </w:tcPr>
          <w:p w14:paraId="0025B969">
            <w:pPr>
              <w:pStyle w:val="5"/>
              <w:spacing w:line="400" w:lineRule="atLeast"/>
              <w:jc w:val="center"/>
              <w:rPr>
                <w:rFonts w:hint="eastAsia" w:ascii="微软雅黑" w:hAnsi="微软雅黑" w:eastAsia="微软雅黑" w:cs="微软雅黑"/>
                <w:color w:val="000000"/>
              </w:rPr>
            </w:pPr>
          </w:p>
        </w:tc>
      </w:tr>
      <w:tr w14:paraId="0EF6CF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5" w:type="dxa"/>
            <w:tcBorders>
              <w:top w:val="outset" w:color="auto" w:sz="6" w:space="0"/>
              <w:left w:val="outset" w:color="auto" w:sz="6" w:space="0"/>
              <w:bottom w:val="outset" w:color="auto" w:sz="6" w:space="0"/>
              <w:right w:val="outset" w:color="auto" w:sz="6" w:space="0"/>
            </w:tcBorders>
          </w:tcPr>
          <w:p w14:paraId="6EBB5E6A">
            <w:pPr>
              <w:pStyle w:val="5"/>
              <w:spacing w:line="40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val="en-US" w:eastAsia="zh-CN"/>
              </w:rPr>
              <w:t>6</w:t>
            </w:r>
          </w:p>
        </w:tc>
        <w:tc>
          <w:tcPr>
            <w:tcW w:w="3260" w:type="dxa"/>
            <w:tcBorders>
              <w:top w:val="outset" w:color="auto" w:sz="6" w:space="0"/>
              <w:left w:val="outset" w:color="auto" w:sz="6" w:space="0"/>
              <w:bottom w:val="outset" w:color="auto" w:sz="6" w:space="0"/>
              <w:right w:val="outset" w:color="auto" w:sz="6" w:space="0"/>
            </w:tcBorders>
          </w:tcPr>
          <w:p w14:paraId="500AB843">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rPr>
              <w:t>大于等于500小于1000</w:t>
            </w:r>
          </w:p>
        </w:tc>
        <w:tc>
          <w:tcPr>
            <w:tcW w:w="3186" w:type="dxa"/>
            <w:tcBorders>
              <w:top w:val="outset" w:color="auto" w:sz="6" w:space="0"/>
              <w:left w:val="outset" w:color="auto" w:sz="6" w:space="0"/>
              <w:bottom w:val="outset" w:color="auto" w:sz="6" w:space="0"/>
              <w:right w:val="outset" w:color="auto" w:sz="6" w:space="0"/>
            </w:tcBorders>
            <w:vAlign w:val="bottom"/>
          </w:tcPr>
          <w:p w14:paraId="1EF29357">
            <w:pPr>
              <w:pStyle w:val="5"/>
              <w:spacing w:line="400" w:lineRule="atLeast"/>
              <w:jc w:val="center"/>
              <w:rPr>
                <w:rFonts w:hint="eastAsia" w:ascii="微软雅黑" w:hAnsi="微软雅黑" w:eastAsia="微软雅黑" w:cs="微软雅黑"/>
                <w:color w:val="000000"/>
              </w:rPr>
            </w:pPr>
          </w:p>
        </w:tc>
      </w:tr>
      <w:tr w14:paraId="7BBB68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565" w:type="dxa"/>
            <w:tcBorders>
              <w:top w:val="outset" w:color="auto" w:sz="6" w:space="0"/>
              <w:left w:val="outset" w:color="auto" w:sz="6" w:space="0"/>
              <w:bottom w:val="outset" w:color="auto" w:sz="6" w:space="0"/>
              <w:right w:val="outset" w:color="auto" w:sz="6" w:space="0"/>
            </w:tcBorders>
          </w:tcPr>
          <w:p w14:paraId="4BCD3C42">
            <w:pPr>
              <w:pStyle w:val="5"/>
              <w:spacing w:line="40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val="en-US" w:eastAsia="zh-CN"/>
              </w:rPr>
              <w:t>7</w:t>
            </w:r>
          </w:p>
        </w:tc>
        <w:tc>
          <w:tcPr>
            <w:tcW w:w="3260" w:type="dxa"/>
            <w:tcBorders>
              <w:top w:val="outset" w:color="auto" w:sz="6" w:space="0"/>
              <w:left w:val="outset" w:color="auto" w:sz="6" w:space="0"/>
              <w:bottom w:val="outset" w:color="auto" w:sz="6" w:space="0"/>
              <w:right w:val="outset" w:color="auto" w:sz="6" w:space="0"/>
            </w:tcBorders>
          </w:tcPr>
          <w:p w14:paraId="27C056D5">
            <w:pPr>
              <w:pStyle w:val="5"/>
              <w:spacing w:line="400" w:lineRule="atLeast"/>
              <w:jc w:val="center"/>
              <w:rPr>
                <w:rFonts w:hint="eastAsia" w:ascii="微软雅黑" w:hAnsi="微软雅黑" w:eastAsia="微软雅黑" w:cs="微软雅黑"/>
                <w:color w:val="000000"/>
              </w:rPr>
            </w:pPr>
            <w:r>
              <w:rPr>
                <w:rFonts w:hint="eastAsia" w:ascii="微软雅黑" w:hAnsi="微软雅黑" w:eastAsia="微软雅黑" w:cs="微软雅黑"/>
                <w:color w:val="000000"/>
              </w:rPr>
              <w:t>大于等于1000小于3000</w:t>
            </w:r>
          </w:p>
        </w:tc>
        <w:tc>
          <w:tcPr>
            <w:tcW w:w="3186" w:type="dxa"/>
            <w:tcBorders>
              <w:top w:val="outset" w:color="auto" w:sz="6" w:space="0"/>
              <w:left w:val="outset" w:color="auto" w:sz="6" w:space="0"/>
              <w:bottom w:val="outset" w:color="auto" w:sz="6" w:space="0"/>
              <w:right w:val="outset" w:color="auto" w:sz="6" w:space="0"/>
            </w:tcBorders>
            <w:vAlign w:val="bottom"/>
          </w:tcPr>
          <w:p w14:paraId="579A99AE">
            <w:pPr>
              <w:pStyle w:val="5"/>
              <w:spacing w:line="400" w:lineRule="atLeast"/>
              <w:jc w:val="center"/>
              <w:rPr>
                <w:rFonts w:hint="eastAsia" w:ascii="微软雅黑" w:hAnsi="微软雅黑" w:eastAsia="微软雅黑" w:cs="微软雅黑"/>
                <w:color w:val="000000"/>
              </w:rPr>
            </w:pPr>
          </w:p>
        </w:tc>
      </w:tr>
    </w:tbl>
    <w:p w14:paraId="13FE88FD">
      <w:pPr>
        <w:rPr>
          <w:rFonts w:hint="eastAsia" w:ascii="微软雅黑" w:hAnsi="微软雅黑" w:eastAsia="微软雅黑" w:cs="微软雅黑"/>
          <w:sz w:val="24"/>
          <w:szCs w:val="24"/>
          <w:lang w:val="en-US" w:eastAsia="zh-CN"/>
        </w:rPr>
      </w:pPr>
      <w:r>
        <w:rPr>
          <w:rFonts w:hint="eastAsia" w:ascii="微软雅黑" w:hAnsi="微软雅黑" w:eastAsia="微软雅黑" w:cs="微软雅黑"/>
        </w:rPr>
        <w:t>注：计费额大于等于3000万元由双方协商议定。</w:t>
      </w:r>
    </w:p>
    <w:p w14:paraId="4784675D">
      <w:pPr>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（一）项目实施阶段</w:t>
      </w:r>
    </w:p>
    <w:p w14:paraId="5B280B1C">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1.加强项目实施方案的合法性、合理性、与设计方案的符合性。</w:t>
      </w:r>
    </w:p>
    <w:p w14:paraId="7F6743EA">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2.促使项目中所使用的产品和服务符合建设合同及国家相关法律、法规和标准。</w:t>
      </w:r>
    </w:p>
    <w:p w14:paraId="25B2C49C">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3.明确项目实施计划，对于计划的调整应合理、受控。</w:t>
      </w:r>
    </w:p>
    <w:p w14:paraId="63CBBAF0">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4.促使项目实施过程满足建设合同的要求，并与项目设计方案、项目计划相符。</w:t>
      </w:r>
    </w:p>
    <w:p w14:paraId="28524AEA">
      <w:pPr>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（二）项目验收阶段</w:t>
      </w:r>
    </w:p>
    <w:p w14:paraId="04A65049">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1.明确项目测试验收方案（验收目标、验收提交清单等）的符合性及可行性。</w:t>
      </w:r>
    </w:p>
    <w:p w14:paraId="3D136CAD">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2.促使项目的最终功能和性能符合建设合同、法律法规和标准的要求。</w:t>
      </w:r>
    </w:p>
    <w:p w14:paraId="6C500D3A">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3.推动承建单位所提供的项目各阶段形成的技术、管理文档的内容和种类符合相关标准。</w:t>
      </w:r>
    </w:p>
    <w:p w14:paraId="27E7F9D5">
      <w:pPr>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（三）监理具体要求</w:t>
      </w:r>
    </w:p>
    <w:p w14:paraId="7229C96E">
      <w:pPr>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一）项目实施阶段监理工作内容</w:t>
      </w:r>
    </w:p>
    <w:p w14:paraId="53986CAD">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1.质量控制</w:t>
      </w:r>
    </w:p>
    <w:p w14:paraId="3D1DCDA7">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（1）供应商应审核承建单位提交的质量管理计划申报表并签署意见；</w:t>
      </w:r>
    </w:p>
    <w:p w14:paraId="4EFD3B10">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（2）供应商应组织采购人、承建单位召开项目实施准备会议，做出会议纪要，并经三方签认；</w:t>
      </w:r>
    </w:p>
    <w:p w14:paraId="70E9F451">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应组织审核承建单位提交的实施方案从实施方案与法律、法规和标准的符合性；实施方案的合理性和可行性；实施方案与合同、设计方案和实施计划的符合性；项目实施的组织机构和人员配置是否满足项目建设需求等方面把关出具监理审核意见；</w:t>
      </w:r>
    </w:p>
    <w:p w14:paraId="7E265249">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（4）供应商对承建单位提供的产品及服务应组织验收，对验收结果作出记录，并经三方签认；</w:t>
      </w:r>
    </w:p>
    <w:p w14:paraId="41078E4F">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（5）供应商应检查承建单位项目实施状况、人员与实施方案的一致性；</w:t>
      </w:r>
    </w:p>
    <w:p w14:paraId="5E254117">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（6）供应商应及时处理承建单位提交的关键环节的实施申请，审核其合理性后签认并报采购人批准；</w:t>
      </w:r>
    </w:p>
    <w:p w14:paraId="389FB92B">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（7）供应商应审核项目变更申请，使项目总体不受影响；</w:t>
      </w:r>
    </w:p>
    <w:p w14:paraId="7B241B55">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（8）供应商应处理实施项目出现的各种质量事故；</w:t>
      </w:r>
    </w:p>
    <w:p w14:paraId="216F31DF">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（10）供应商应在实施过程中，如发现存在重大质量隐患，应及时向承建单位签发停工令，并报采购人。</w:t>
      </w:r>
    </w:p>
    <w:p w14:paraId="17EFEDDF">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2.进度控制</w:t>
      </w:r>
    </w:p>
    <w:p w14:paraId="4D860C4B">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（1）供应商应审核承建单位提交的项目实施计划的合理性及实施计划报审表，并签署审核意见；</w:t>
      </w:r>
    </w:p>
    <w:p w14:paraId="663E3A9E">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（2）供应商应审核承建单位提交的开工申请，并检查项目准备情况，签发开工令报采购人签认，通知承建单位开始实施项目；</w:t>
      </w:r>
    </w:p>
    <w:p w14:paraId="657E7BAE">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（3）供应商应审核承建单位提交的阶段性进度计划报审表；</w:t>
      </w:r>
    </w:p>
    <w:p w14:paraId="38767CE1">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（4）供应商应定期检查项目的实施进度情况，确保实际进度与计划的一致性，并及时处理项目延期申请；</w:t>
      </w:r>
    </w:p>
    <w:p w14:paraId="392DD0F5">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（5）供应商应审查进度纠偏措施的合理性、可行性，签发监理通知单，报采购人，并要求承建单位按计划进行修改。</w:t>
      </w:r>
    </w:p>
    <w:p w14:paraId="33B53E9E">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3.投资控制</w:t>
      </w:r>
    </w:p>
    <w:p w14:paraId="29DA0993">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（1）供应商应审核承建单位提交的项目阶段性报告和付款申请，签发项目款支付意见，报采购人签认；</w:t>
      </w:r>
    </w:p>
    <w:p w14:paraId="6D154C51">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（2）供应商应审查项目的质量、进度和投资等方面的变更，签发监理意见，报采购人签认；</w:t>
      </w:r>
    </w:p>
    <w:p w14:paraId="72C6FE4D">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（3）供应商应及时处理各种索赔申请。</w:t>
      </w:r>
    </w:p>
    <w:p w14:paraId="07575DC5">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4.合同管理</w:t>
      </w:r>
    </w:p>
    <w:p w14:paraId="0B9FA15A">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（1）供应商应监督合同执行情况，定期向采购人汇报承建单位合同执行情况；</w:t>
      </w:r>
    </w:p>
    <w:p w14:paraId="61A25BA5">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（2）供应商应根据实际情况，参考变更文件及其他有关资料，按照建设合同的有关条款，对项目变更范围、内容、实施难度以及变更的投资和工期做出评估，处理项目实施中的各种变更并报采购人批准；</w:t>
      </w:r>
    </w:p>
    <w:p w14:paraId="7B5DE53D">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（3）供应商应及时协调合同纠纷，公正地调查分析，提出监理意见。</w:t>
      </w:r>
    </w:p>
    <w:p w14:paraId="7ED736FC">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5.信息管理</w:t>
      </w:r>
    </w:p>
    <w:p w14:paraId="6B6853D3">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（1）供应商应妥善管理实施阶段中所产生的开工令、停工令、监理通知、监理周报和项目备忘录等资料；</w:t>
      </w:r>
    </w:p>
    <w:p w14:paraId="63B14A0B">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（2）供应商应对项目实施阶段三方共同参与的过程和活动做项目备忘录，并由三方确认；</w:t>
      </w:r>
    </w:p>
    <w:p w14:paraId="0104DA1C">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（3）供应商应监督采购人和承建单位按照既定的要求编制和管理项目文档。</w:t>
      </w:r>
    </w:p>
    <w:p w14:paraId="7CFEF9AA">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6.协调</w:t>
      </w:r>
    </w:p>
    <w:p w14:paraId="2C0253BF">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（1）供应商应与采购人和承建单位共同建立实施阶段协调的机制；</w:t>
      </w:r>
    </w:p>
    <w:p w14:paraId="7FD52846">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（2）供应商应及时组织专题会议，解决专项问题，做出会议纪要，并提交采购人和承建单位；</w:t>
      </w:r>
    </w:p>
    <w:p w14:paraId="750707AC">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（3）供应商应协调采购人和承建单位对项目变更的范围和内容等达成一致性；</w:t>
      </w:r>
    </w:p>
    <w:p w14:paraId="3E6DB50D">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（4）供应商应协调采购人和承建单位对索赔意见达成一致；</w:t>
      </w:r>
    </w:p>
    <w:p w14:paraId="60A95DA3">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（5）供应商应协调采购人配合承建单位的项目实施。</w:t>
      </w:r>
    </w:p>
    <w:p w14:paraId="21264C57">
      <w:pPr>
        <w:spacing w:line="500" w:lineRule="exact"/>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二）项目验收阶段监理的工作内容</w:t>
      </w:r>
    </w:p>
    <w:p w14:paraId="45EB8240">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1.质量控制</w:t>
      </w:r>
    </w:p>
    <w:p w14:paraId="18EAEA76">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（1）供应商应及时处理承建单位提交的初验申请，审核初验的必备条件，签认后报采购人签认；</w:t>
      </w:r>
    </w:p>
    <w:p w14:paraId="247C964D">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（2）供应商应协助采购人审核承建单位验收计划及方案，明确验收目标，验收内容等内容，审核后签署意见；</w:t>
      </w:r>
    </w:p>
    <w:p w14:paraId="4489D626">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（3）供应商应协助采购人对初验中发现的质量问题进行评估，并确定整改要求和验收方式；以监理通知单告知承建单位。必要时组织重验；</w:t>
      </w:r>
    </w:p>
    <w:p w14:paraId="22E6032B">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（4）供应商应敦促承建单位根据整改要求提出整改方案，并监督整改过程；</w:t>
      </w:r>
    </w:p>
    <w:p w14:paraId="415C4971">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（5）供应商应与采购人和承建单位共同对初验结果进行确认，并共同签署初验合格报告；</w:t>
      </w:r>
    </w:p>
    <w:p w14:paraId="614D8B53">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（6）供应商应监督系统的试运行；敦促承建单位解决试运行出现的各种质量问题；</w:t>
      </w:r>
    </w:p>
    <w:p w14:paraId="1B73EA86">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（7）供应商应协助采购人组织项目验收；</w:t>
      </w:r>
    </w:p>
    <w:p w14:paraId="58C70B0C">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（8）供应商应对项目中的关键性技术指标，要求承建单位出具第三方测试机构的测试报告，第三方测试机构应由采购人和供应商同意；</w:t>
      </w:r>
    </w:p>
    <w:p w14:paraId="77962A22">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（9）供应商应督促承建单位完成项目实施方案中确定的培训，并对培训进行评估。</w:t>
      </w:r>
    </w:p>
    <w:p w14:paraId="7944B5B7">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2.进度控制</w:t>
      </w:r>
    </w:p>
    <w:p w14:paraId="3A01CB9E">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（1）供应商应对验收阶段进度安排提出监理意见；</w:t>
      </w:r>
    </w:p>
    <w:p w14:paraId="044C0E2A">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（2）供应商应审核承建单位初验、终验和项目整改计划的可行性，并以通知单的形式告知采购人和承建单位；</w:t>
      </w:r>
    </w:p>
    <w:p w14:paraId="3CF57FC7">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（3）供应商应要求采购人和承建单位以初验合格报告作为启动试运行的依据，以终验报告作为项目验收结束的依据。</w:t>
      </w:r>
    </w:p>
    <w:p w14:paraId="3901556A">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3.投资控制</w:t>
      </w:r>
    </w:p>
    <w:p w14:paraId="1B7DE465">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（1）供应商应审核承建单位提交的阶段性付款申请，并根据合同规定签发项目支付意见；</w:t>
      </w:r>
    </w:p>
    <w:p w14:paraId="4BF1E650">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（2）供应商应协助采购人进行项目结算。</w:t>
      </w:r>
    </w:p>
    <w:p w14:paraId="22913DD5">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4.合同管理</w:t>
      </w:r>
    </w:p>
    <w:p w14:paraId="0BBD4193">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（1）供应商应及时向采购人、承建单位通报建设合同、协议及相关变更所规定项目内容的执行情况，提出监理意见；</w:t>
      </w:r>
    </w:p>
    <w:p w14:paraId="41F02FE2">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（2）供应商应协助采购人和承建单位签署其他补充协议。</w:t>
      </w:r>
    </w:p>
    <w:p w14:paraId="14C478A3">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5.信息管理</w:t>
      </w:r>
    </w:p>
    <w:p w14:paraId="36F4DC39">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（1）供应商应管理项目验收阶段文档；</w:t>
      </w:r>
    </w:p>
    <w:p w14:paraId="402C95B6">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（2）供应商应敦促采购人、承建单位按照事先约定，编制、签署和妥善保存验收阶段的项目文档；</w:t>
      </w:r>
    </w:p>
    <w:p w14:paraId="387922F2">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（3）供应商应督促采购人、承建单位及时整理项目文档；</w:t>
      </w:r>
    </w:p>
    <w:p w14:paraId="75B5CD23">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（4）供应商应整理与项目有关的全部监理文档，并提交采购人。</w:t>
      </w:r>
    </w:p>
    <w:p w14:paraId="29F0B770">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6.协调</w:t>
      </w:r>
    </w:p>
    <w:p w14:paraId="65D8AA74">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（1）供应商应协调采购人和承建单位在验收计划、验收目标、验收范围、验收内容、验收方法和验收标准等方面的一致性，填报项目备忘录，并经三方签认；</w:t>
      </w:r>
    </w:p>
    <w:p w14:paraId="5A32D7F9">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（2）供应商应协调采购人配合验收阶段的工作；</w:t>
      </w:r>
    </w:p>
    <w:p w14:paraId="110AF681">
      <w:pPr>
        <w:spacing w:line="500" w:lineRule="exact"/>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（3）供应商应及时填报验收阶段的项目备忘录，并经三方签认；</w:t>
      </w:r>
    </w:p>
    <w:p w14:paraId="475CCD25">
      <w:pPr>
        <w:spacing w:line="500" w:lineRule="exact"/>
        <w:ind w:firstLine="480" w:firstLineChars="200"/>
        <w:rPr>
          <w:rFonts w:hint="eastAsia" w:ascii="微软雅黑" w:hAnsi="微软雅黑" w:eastAsia="微软雅黑" w:cs="微软雅黑"/>
        </w:rPr>
      </w:pPr>
      <w:r>
        <w:rPr>
          <w:rFonts w:hint="eastAsia" w:ascii="微软雅黑" w:hAnsi="微软雅黑" w:eastAsia="微软雅黑" w:cs="微软雅黑"/>
          <w:sz w:val="24"/>
          <w:szCs w:val="24"/>
        </w:rPr>
        <w:t>（4）供应商应协助采购人和承建单位完成项目移交工作。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2QyYWRlNzM3OGE4NDgyNmFiNmQ5YmIyOGRhMzIifQ=="/>
  </w:docVars>
  <w:rsids>
    <w:rsidRoot w:val="00CE3586"/>
    <w:rsid w:val="003A4850"/>
    <w:rsid w:val="005F4897"/>
    <w:rsid w:val="0062526D"/>
    <w:rsid w:val="00755CE5"/>
    <w:rsid w:val="00914501"/>
    <w:rsid w:val="009B0CE1"/>
    <w:rsid w:val="00B213EA"/>
    <w:rsid w:val="00C8670A"/>
    <w:rsid w:val="00CC0226"/>
    <w:rsid w:val="00CE3586"/>
    <w:rsid w:val="00D26A20"/>
    <w:rsid w:val="00E36F30"/>
    <w:rsid w:val="00E53A57"/>
    <w:rsid w:val="04131BA8"/>
    <w:rsid w:val="08566507"/>
    <w:rsid w:val="10484987"/>
    <w:rsid w:val="12E66152"/>
    <w:rsid w:val="258401FB"/>
    <w:rsid w:val="275D6B12"/>
    <w:rsid w:val="33E16D1D"/>
    <w:rsid w:val="35150A2C"/>
    <w:rsid w:val="39007C46"/>
    <w:rsid w:val="39AE1450"/>
    <w:rsid w:val="3CEC481E"/>
    <w:rsid w:val="3F016DD9"/>
    <w:rsid w:val="44C304A5"/>
    <w:rsid w:val="4C6D0CF6"/>
    <w:rsid w:val="54D9161F"/>
    <w:rsid w:val="55630EE8"/>
    <w:rsid w:val="59E545C2"/>
    <w:rsid w:val="5B3F7D02"/>
    <w:rsid w:val="5B6B4F9B"/>
    <w:rsid w:val="5D156F6C"/>
    <w:rsid w:val="5DDF79B4"/>
    <w:rsid w:val="5FDF3861"/>
    <w:rsid w:val="65BB267B"/>
    <w:rsid w:val="68352BB8"/>
    <w:rsid w:val="6B323086"/>
    <w:rsid w:val="74237D69"/>
    <w:rsid w:val="7997722F"/>
    <w:rsid w:val="7B4C4049"/>
    <w:rsid w:val="7FEA4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2525</Words>
  <Characters>2577</Characters>
  <Lines>2</Lines>
  <Paragraphs>1</Paragraphs>
  <TotalTime>1</TotalTime>
  <ScaleCrop>false</ScaleCrop>
  <LinksUpToDate>false</LinksUpToDate>
  <CharactersWithSpaces>2577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2024-09-13T03:04:00Z</dcterms:created>
  <dc:creator>pzw</dc:creator>
  <cp:lastModifiedBy>Yuan</cp:lastModifiedBy>
  <dcterms:modified xsi:type="dcterms:W3CDTF">2024-09-19T02:32:57Z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794FAD4BD96C4E48BC23E27364F46DD0_12</vt:lpwstr>
  </property>
</Properties>
</file>