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94BD6">
      <w:pPr>
        <w:tabs>
          <w:tab w:val="left" w:pos="540"/>
        </w:tabs>
        <w:ind w:firstLine="0" w:firstLineChars="0"/>
        <w:jc w:val="center"/>
        <w:rPr>
          <w:rFonts w:hint="eastAsia" w:ascii="宋体" w:hAnsi="宋体"/>
          <w:b/>
          <w:sz w:val="32"/>
          <w:szCs w:val="32"/>
        </w:rPr>
      </w:pPr>
      <w:r>
        <w:rPr>
          <w:rFonts w:hint="eastAsia" w:ascii="宋体" w:hAnsi="宋体"/>
          <w:b/>
          <w:sz w:val="32"/>
          <w:szCs w:val="32"/>
        </w:rPr>
        <w:t>成都市公共卫生临床医疗中心远</w:t>
      </w:r>
    </w:p>
    <w:p w14:paraId="3EBDB653">
      <w:pPr>
        <w:tabs>
          <w:tab w:val="left" w:pos="540"/>
        </w:tabs>
        <w:ind w:firstLine="0" w:firstLineChars="0"/>
        <w:jc w:val="center"/>
        <w:rPr>
          <w:rFonts w:hint="eastAsia" w:ascii="宋体" w:hAnsi="宋体" w:eastAsia="宋体"/>
          <w:b/>
          <w:sz w:val="32"/>
          <w:szCs w:val="32"/>
          <w:lang w:eastAsia="zh-CN"/>
        </w:rPr>
      </w:pPr>
      <w:r>
        <w:rPr>
          <w:rFonts w:hint="eastAsia" w:ascii="宋体" w:hAnsi="宋体"/>
          <w:b/>
          <w:sz w:val="32"/>
          <w:szCs w:val="32"/>
        </w:rPr>
        <w:t>程医疗培训基地信息化建设项目</w:t>
      </w:r>
      <w:r>
        <w:rPr>
          <w:rFonts w:hint="eastAsia" w:ascii="宋体" w:hAnsi="宋体"/>
          <w:b/>
          <w:sz w:val="32"/>
          <w:szCs w:val="32"/>
          <w:lang w:val="en-US" w:eastAsia="zh-CN"/>
        </w:rPr>
        <w:t>需求</w:t>
      </w:r>
    </w:p>
    <w:p w14:paraId="50EEE86B">
      <w:pPr>
        <w:ind w:firstLine="560"/>
        <w:rPr>
          <w:rFonts w:ascii="宋体" w:hAnsi="宋体"/>
        </w:rPr>
      </w:pPr>
    </w:p>
    <w:p w14:paraId="78573379">
      <w:pPr>
        <w:numPr>
          <w:ilvl w:val="0"/>
          <w:numId w:val="3"/>
        </w:numPr>
        <w:ind w:firstLine="560"/>
        <w:rPr>
          <w:rFonts w:hint="eastAsia" w:ascii="宋体" w:hAnsi="宋体"/>
          <w:b/>
          <w:bCs/>
          <w:sz w:val="30"/>
          <w:szCs w:val="30"/>
          <w:lang w:val="en-US" w:eastAsia="zh-CN"/>
        </w:rPr>
      </w:pPr>
      <w:r>
        <w:rPr>
          <w:rFonts w:hint="eastAsia" w:ascii="宋体" w:hAnsi="宋体"/>
          <w:b/>
          <w:bCs/>
          <w:sz w:val="30"/>
          <w:szCs w:val="30"/>
          <w:lang w:val="en-US" w:eastAsia="zh-CN"/>
        </w:rPr>
        <w:t>改造需求</w:t>
      </w:r>
    </w:p>
    <w:p w14:paraId="07BF7AF2">
      <w:pPr>
        <w:widowControl w:val="0"/>
        <w:numPr>
          <w:ilvl w:val="0"/>
          <w:numId w:val="0"/>
        </w:numPr>
        <w:spacing w:line="360" w:lineRule="auto"/>
        <w:ind w:firstLine="700" w:firstLineChars="250"/>
        <w:jc w:val="both"/>
        <w:rPr>
          <w:rFonts w:hint="default" w:ascii="宋体" w:hAnsi="宋体"/>
          <w:lang w:val="en-US" w:eastAsia="zh-CN"/>
        </w:rPr>
      </w:pPr>
      <w:r>
        <w:rPr>
          <w:rFonts w:hint="eastAsia" w:ascii="宋体" w:hAnsi="宋体"/>
          <w:sz w:val="28"/>
          <w:szCs w:val="28"/>
          <w:lang w:val="en-US" w:eastAsia="zh-CN"/>
        </w:rPr>
        <w:t>由于成都市公共卫生临床医疗中心静居寺院区原会议室功能化，无法满足现在医院对本地及远程会议、会诊等特定需求，无法融合到航天院区主会议室信息管理平台，也无法进行有效和统一的管理。针对目前痛点和现状，从综合效能角度出发，提出以下改造和建设方案。</w:t>
      </w:r>
    </w:p>
    <w:p w14:paraId="424E0BD6">
      <w:pPr>
        <w:numPr>
          <w:ilvl w:val="0"/>
          <w:numId w:val="3"/>
        </w:numPr>
        <w:ind w:firstLine="560"/>
        <w:rPr>
          <w:rFonts w:hint="default" w:ascii="宋体" w:hAnsi="宋体"/>
          <w:b/>
          <w:bCs/>
          <w:sz w:val="30"/>
          <w:szCs w:val="30"/>
          <w:lang w:val="en-US" w:eastAsia="zh-CN"/>
        </w:rPr>
      </w:pPr>
      <w:r>
        <w:rPr>
          <w:rFonts w:hint="eastAsia" w:ascii="宋体" w:hAnsi="宋体"/>
          <w:b/>
          <w:bCs/>
          <w:sz w:val="30"/>
          <w:szCs w:val="30"/>
          <w:lang w:val="en-US" w:eastAsia="zh-CN"/>
        </w:rPr>
        <w:t>建设方案和功能、技术要求</w:t>
      </w:r>
    </w:p>
    <w:p w14:paraId="79BC0F3A">
      <w:pPr>
        <w:widowControl w:val="0"/>
        <w:numPr>
          <w:ilvl w:val="0"/>
          <w:numId w:val="0"/>
        </w:numPr>
        <w:spacing w:line="360" w:lineRule="auto"/>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 xml:space="preserve"> 方案组成由会议音频系统、会议影像服务系统、会议信息分会场管理系统、远程视频会议分会场系统等主要部分组成；具体组成如下：</w:t>
      </w:r>
    </w:p>
    <w:p w14:paraId="396636D8">
      <w:pPr>
        <w:widowControl w:val="0"/>
        <w:numPr>
          <w:ilvl w:val="0"/>
          <w:numId w:val="4"/>
        </w:numPr>
        <w:spacing w:line="360" w:lineRule="auto"/>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会议音频系统</w:t>
      </w:r>
    </w:p>
    <w:p w14:paraId="0005A6F9">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会议音频系统配置及功能要求如下：</w:t>
      </w:r>
    </w:p>
    <w:p w14:paraId="171520C1">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 xml:space="preserve"> 1、会议主机</w:t>
      </w:r>
    </w:p>
    <w:p w14:paraId="73CCED9F">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会议主机提供一台，主机控制：内置全视角电容触控屏；支持中控控制，使用指令代码进行摄像跟踪或控制话筒开关等操作；</w:t>
      </w:r>
    </w:p>
    <w:p w14:paraId="5458CBF7">
      <w:pPr>
        <w:widowControl w:val="0"/>
        <w:numPr>
          <w:ilvl w:val="0"/>
          <w:numId w:val="5"/>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主席单元</w:t>
      </w:r>
      <w:r>
        <w:rPr>
          <w:rFonts w:hint="eastAsia" w:ascii="宋体" w:hAnsi="宋体"/>
          <w:sz w:val="28"/>
          <w:szCs w:val="28"/>
          <w:lang w:val="en-US" w:eastAsia="zh-CN"/>
        </w:rPr>
        <w:tab/>
      </w:r>
    </w:p>
    <w:p w14:paraId="28F8A107">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主席单元配置一个，鹅颈杆设计，镀金振膜电容式心型指向拾音器，底座和咪杆可分离拆卸；</w:t>
      </w:r>
    </w:p>
    <w:p w14:paraId="7AC27DCE">
      <w:pPr>
        <w:pStyle w:val="2"/>
        <w:rPr>
          <w:rFonts w:hint="eastAsia"/>
          <w:lang w:val="en-US" w:eastAsia="zh-CN"/>
        </w:rPr>
      </w:pPr>
      <w:r>
        <w:rPr>
          <w:rFonts w:hint="eastAsia" w:ascii="宋体" w:hAnsi="宋体"/>
          <w:sz w:val="28"/>
          <w:szCs w:val="28"/>
          <w:lang w:val="en-US" w:eastAsia="zh-CN"/>
        </w:rPr>
        <w:t>电池：内置可更换式的2节18650电池，支持TYPE-C DC-5V充电，连续工作时间≥12个小时；</w:t>
      </w:r>
    </w:p>
    <w:p w14:paraId="7F1ED6B7">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代表单元</w:t>
      </w:r>
      <w:r>
        <w:rPr>
          <w:rFonts w:hint="eastAsia" w:ascii="宋体" w:hAnsi="宋体"/>
          <w:sz w:val="28"/>
          <w:szCs w:val="28"/>
          <w:lang w:val="en-US" w:eastAsia="zh-CN"/>
        </w:rPr>
        <w:tab/>
      </w:r>
    </w:p>
    <w:p w14:paraId="01DA77BA">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配置七个代表单元，鹅颈杆设计，镀金振膜电容式拾音器，带指示灯环，底座和咪杆可分离拆卸；</w:t>
      </w:r>
    </w:p>
    <w:p w14:paraId="11794CF7">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电池：内置可更换式的2节18650电池，支持TYPE-C DC-5V充电，连续工作时间≥12个小时；</w:t>
      </w:r>
    </w:p>
    <w:p w14:paraId="4989BB7E">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充电主机</w:t>
      </w:r>
    </w:p>
    <w:p w14:paraId="725FAD05">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配置一台话筒专用充电主机。</w:t>
      </w:r>
    </w:p>
    <w:p w14:paraId="375715CE">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主音箱</w:t>
      </w:r>
    </w:p>
    <w:p w14:paraId="11D6A899">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主音箱由一对音柱式音箱组成，同时配有音柱安装墙架。</w:t>
      </w:r>
    </w:p>
    <w:p w14:paraId="309E4A9C">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吸顶音箱</w:t>
      </w:r>
      <w:r>
        <w:rPr>
          <w:rFonts w:hint="eastAsia" w:ascii="宋体" w:hAnsi="宋体"/>
          <w:sz w:val="28"/>
          <w:szCs w:val="28"/>
          <w:lang w:val="en-US" w:eastAsia="zh-CN"/>
        </w:rPr>
        <w:tab/>
      </w:r>
    </w:p>
    <w:p w14:paraId="3AEE33A7">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屋顶安装8套吸顶音箱。</w:t>
      </w:r>
    </w:p>
    <w:p w14:paraId="2850C77D">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功放</w:t>
      </w:r>
      <w:r>
        <w:rPr>
          <w:rFonts w:hint="eastAsia" w:ascii="宋体" w:hAnsi="宋体"/>
          <w:sz w:val="28"/>
          <w:szCs w:val="28"/>
          <w:lang w:val="en-US" w:eastAsia="zh-CN"/>
        </w:rPr>
        <w:tab/>
      </w:r>
    </w:p>
    <w:p w14:paraId="7399FD5B">
      <w:pPr>
        <w:widowControl w:val="0"/>
        <w:numPr>
          <w:ilvl w:val="0"/>
          <w:numId w:val="0"/>
        </w:numPr>
        <w:spacing w:line="360" w:lineRule="auto"/>
        <w:ind w:firstLine="560" w:firstLineChars="200"/>
        <w:jc w:val="both"/>
        <w:rPr>
          <w:rFonts w:hint="default" w:ascii="宋体" w:hAnsi="宋体"/>
          <w:sz w:val="28"/>
          <w:szCs w:val="28"/>
          <w:lang w:val="en-US" w:eastAsia="zh-CN"/>
        </w:rPr>
      </w:pPr>
      <w:r>
        <w:rPr>
          <w:rFonts w:hint="eastAsia" w:ascii="宋体" w:hAnsi="宋体"/>
          <w:sz w:val="28"/>
          <w:szCs w:val="28"/>
          <w:lang w:val="en-US" w:eastAsia="zh-CN"/>
        </w:rPr>
        <w:t>配置有两套功放，一套主音箱功放，一套补声功放。</w:t>
      </w:r>
    </w:p>
    <w:p w14:paraId="1679EF41">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反馈抑制器</w:t>
      </w:r>
    </w:p>
    <w:p w14:paraId="2DC59FEC">
      <w:pPr>
        <w:widowControl w:val="0"/>
        <w:numPr>
          <w:ilvl w:val="0"/>
          <w:numId w:val="0"/>
        </w:numPr>
        <w:spacing w:line="360" w:lineRule="auto"/>
        <w:ind w:firstLine="560" w:firstLineChars="200"/>
        <w:jc w:val="both"/>
        <w:rPr>
          <w:rFonts w:hint="default" w:ascii="宋体" w:hAnsi="宋体"/>
          <w:sz w:val="28"/>
          <w:szCs w:val="28"/>
          <w:lang w:val="en-US" w:eastAsia="zh-CN"/>
        </w:rPr>
      </w:pPr>
      <w:r>
        <w:rPr>
          <w:rFonts w:hint="eastAsia" w:ascii="宋体" w:hAnsi="宋体"/>
          <w:sz w:val="28"/>
          <w:szCs w:val="28"/>
          <w:lang w:val="en-US" w:eastAsia="zh-CN"/>
        </w:rPr>
        <w:t>配置一台反馈抑制器。</w:t>
      </w:r>
    </w:p>
    <w:p w14:paraId="0A475821">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无线话筒</w:t>
      </w:r>
    </w:p>
    <w:p w14:paraId="2D26A218">
      <w:pPr>
        <w:widowControl w:val="0"/>
        <w:numPr>
          <w:ilvl w:val="0"/>
          <w:numId w:val="0"/>
        </w:numPr>
        <w:spacing w:line="360" w:lineRule="auto"/>
        <w:ind w:leftChars="200"/>
        <w:jc w:val="both"/>
        <w:rPr>
          <w:rFonts w:hint="eastAsia" w:ascii="宋体" w:hAnsi="宋体"/>
          <w:sz w:val="28"/>
          <w:szCs w:val="28"/>
          <w:lang w:val="en-US" w:eastAsia="zh-CN"/>
        </w:rPr>
      </w:pPr>
      <w:r>
        <w:rPr>
          <w:rFonts w:hint="eastAsia" w:ascii="宋体" w:hAnsi="宋体"/>
          <w:sz w:val="28"/>
          <w:szCs w:val="28"/>
          <w:lang w:val="en-US" w:eastAsia="zh-CN"/>
        </w:rPr>
        <w:t>无线话筒部分采用一套主机及两个手持话筒；</w:t>
      </w:r>
    </w:p>
    <w:p w14:paraId="3739439E">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调音台</w:t>
      </w:r>
      <w:r>
        <w:rPr>
          <w:rFonts w:hint="eastAsia" w:ascii="宋体" w:hAnsi="宋体"/>
          <w:sz w:val="28"/>
          <w:szCs w:val="28"/>
          <w:lang w:val="en-US" w:eastAsia="zh-CN"/>
        </w:rPr>
        <w:tab/>
      </w:r>
    </w:p>
    <w:p w14:paraId="5657F3D8">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配置一套调音台。</w:t>
      </w:r>
    </w:p>
    <w:p w14:paraId="5D1B8A66">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媒体矩阵音频处理器</w:t>
      </w:r>
      <w:r>
        <w:rPr>
          <w:rFonts w:hint="eastAsia" w:ascii="宋体" w:hAnsi="宋体"/>
          <w:sz w:val="28"/>
          <w:szCs w:val="28"/>
          <w:lang w:val="en-US" w:eastAsia="zh-CN"/>
        </w:rPr>
        <w:tab/>
      </w:r>
    </w:p>
    <w:p w14:paraId="0A755A05">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配置一台媒体矩阵音频处理器。</w:t>
      </w:r>
    </w:p>
    <w:p w14:paraId="75EA4D17">
      <w:pPr>
        <w:widowControl w:val="0"/>
        <w:numPr>
          <w:ilvl w:val="0"/>
          <w:numId w:val="5"/>
        </w:numPr>
        <w:spacing w:line="360" w:lineRule="auto"/>
        <w:ind w:left="0" w:leftChars="0" w:firstLine="560" w:firstLineChars="200"/>
        <w:jc w:val="both"/>
        <w:rPr>
          <w:rFonts w:hint="eastAsia" w:ascii="宋体" w:hAnsi="宋体"/>
          <w:sz w:val="28"/>
          <w:szCs w:val="28"/>
          <w:lang w:val="en-US" w:eastAsia="zh-CN"/>
        </w:rPr>
      </w:pPr>
      <w:r>
        <w:rPr>
          <w:rFonts w:hint="eastAsia" w:ascii="宋体" w:hAnsi="宋体"/>
          <w:sz w:val="28"/>
          <w:szCs w:val="28"/>
          <w:lang w:val="en-US" w:eastAsia="zh-CN"/>
        </w:rPr>
        <w:t>智能电源时序器</w:t>
      </w:r>
    </w:p>
    <w:p w14:paraId="715DF340">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配置一套智能电源时序器。</w:t>
      </w:r>
    </w:p>
    <w:p w14:paraId="4E6CD38C">
      <w:pPr>
        <w:widowControl w:val="0"/>
        <w:numPr>
          <w:ilvl w:val="0"/>
          <w:numId w:val="0"/>
        </w:num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val="en-US" w:eastAsia="zh-CN"/>
        </w:rPr>
        <w:t xml:space="preserve"> </w:t>
      </w:r>
    </w:p>
    <w:p w14:paraId="08EE2F46">
      <w:pPr>
        <w:widowControl w:val="0"/>
        <w:numPr>
          <w:ilvl w:val="0"/>
          <w:numId w:val="0"/>
        </w:numPr>
        <w:spacing w:line="360" w:lineRule="auto"/>
        <w:ind w:firstLine="560" w:firstLineChars="200"/>
        <w:jc w:val="both"/>
        <w:rPr>
          <w:rFonts w:hint="default" w:ascii="宋体" w:hAnsi="宋体"/>
          <w:sz w:val="28"/>
          <w:szCs w:val="28"/>
          <w:lang w:val="en-US" w:eastAsia="zh-CN"/>
        </w:rPr>
      </w:pPr>
      <w:r>
        <w:rPr>
          <w:rFonts w:hint="eastAsia" w:ascii="宋体" w:hAnsi="宋体"/>
          <w:sz w:val="28"/>
          <w:szCs w:val="28"/>
          <w:lang w:val="en-US" w:eastAsia="zh-CN"/>
        </w:rPr>
        <w:t>（二）会议影像服务系统</w:t>
      </w:r>
    </w:p>
    <w:p w14:paraId="13885EAB">
      <w:pPr>
        <w:widowControl w:val="0"/>
        <w:numPr>
          <w:ilvl w:val="0"/>
          <w:numId w:val="0"/>
        </w:numPr>
        <w:spacing w:line="360" w:lineRule="auto"/>
        <w:ind w:firstLine="420" w:firstLineChars="0"/>
        <w:jc w:val="both"/>
        <w:rPr>
          <w:rFonts w:hint="eastAsia"/>
          <w:lang w:val="en-US" w:eastAsia="zh-CN"/>
        </w:rPr>
      </w:pPr>
      <w:r>
        <w:rPr>
          <w:rFonts w:hint="eastAsia" w:ascii="宋体" w:hAnsi="宋体"/>
          <w:sz w:val="28"/>
          <w:szCs w:val="28"/>
          <w:lang w:val="en-US" w:eastAsia="zh-CN"/>
        </w:rPr>
        <w:t>会议影像服务系统采用一块LED大屏，屏幕显示尺寸</w:t>
      </w:r>
      <w:r>
        <w:rPr>
          <w:rFonts w:hint="eastAsia" w:ascii="宋体" w:hAnsi="宋体"/>
          <w:sz w:val="28"/>
          <w:szCs w:val="28"/>
          <w:highlight w:val="none"/>
          <w:lang w:val="en-US" w:eastAsia="zh-CN"/>
        </w:rPr>
        <w:t>14</w:t>
      </w:r>
      <w:r>
        <w:rPr>
          <w:rFonts w:hint="eastAsia" w:ascii="宋体" w:hAnsi="宋体"/>
          <w:sz w:val="28"/>
          <w:szCs w:val="28"/>
          <w:lang w:val="en-US" w:eastAsia="zh-CN"/>
        </w:rPr>
        <w:t>平米左右，点间距：不大于2.5mm。</w:t>
      </w:r>
    </w:p>
    <w:p w14:paraId="651B4F59">
      <w:pPr>
        <w:widowControl w:val="0"/>
        <w:numPr>
          <w:ilvl w:val="0"/>
          <w:numId w:val="4"/>
        </w:numPr>
        <w:spacing w:line="360" w:lineRule="auto"/>
        <w:ind w:firstLine="420" w:firstLineChars="0"/>
        <w:jc w:val="both"/>
        <w:rPr>
          <w:rFonts w:hint="default" w:ascii="宋体" w:hAnsi="宋体"/>
          <w:sz w:val="28"/>
          <w:szCs w:val="28"/>
          <w:lang w:val="en-US" w:eastAsia="zh-CN"/>
        </w:rPr>
      </w:pPr>
      <w:r>
        <w:rPr>
          <w:rFonts w:hint="eastAsia" w:ascii="宋体" w:hAnsi="宋体"/>
          <w:sz w:val="28"/>
          <w:szCs w:val="28"/>
          <w:lang w:val="en-US" w:eastAsia="zh-CN"/>
        </w:rPr>
        <w:t>会议信息分会场管理系统</w:t>
      </w:r>
    </w:p>
    <w:p w14:paraId="46BE34CA">
      <w:pPr>
        <w:widowControl w:val="0"/>
        <w:numPr>
          <w:ilvl w:val="0"/>
          <w:numId w:val="0"/>
        </w:numPr>
        <w:spacing w:line="360" w:lineRule="auto"/>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该部分分硬件和软件功能部分：</w:t>
      </w:r>
    </w:p>
    <w:p w14:paraId="11B4DB39">
      <w:pPr>
        <w:widowControl w:val="0"/>
        <w:numPr>
          <w:ilvl w:val="0"/>
          <w:numId w:val="0"/>
        </w:numPr>
        <w:spacing w:line="360" w:lineRule="auto"/>
        <w:ind w:firstLine="420" w:firstLineChars="0"/>
        <w:jc w:val="both"/>
        <w:rPr>
          <w:rFonts w:hint="default" w:ascii="宋体" w:hAnsi="宋体"/>
          <w:sz w:val="28"/>
          <w:szCs w:val="28"/>
          <w:lang w:val="en-US" w:eastAsia="zh-CN"/>
        </w:rPr>
      </w:pPr>
      <w:r>
        <w:rPr>
          <w:rFonts w:hint="eastAsia" w:ascii="宋体" w:hAnsi="宋体"/>
          <w:sz w:val="28"/>
          <w:szCs w:val="28"/>
          <w:lang w:val="en-US" w:eastAsia="zh-CN"/>
        </w:rPr>
        <w:t>硬件部分由一台智能会议信息牌构成，尺寸</w:t>
      </w:r>
      <w:r>
        <w:rPr>
          <w:rFonts w:hint="default" w:ascii="宋体" w:hAnsi="宋体"/>
          <w:sz w:val="28"/>
          <w:szCs w:val="28"/>
          <w:lang w:val="en-US" w:eastAsia="zh-CN"/>
        </w:rPr>
        <w:t>≥21.5寸高清电容触控屏；</w:t>
      </w:r>
    </w:p>
    <w:p w14:paraId="580F6B5D">
      <w:pPr>
        <w:widowControl w:val="0"/>
        <w:numPr>
          <w:ilvl w:val="0"/>
          <w:numId w:val="0"/>
        </w:numPr>
        <w:spacing w:line="360" w:lineRule="auto"/>
        <w:ind w:firstLine="420" w:firstLineChars="0"/>
        <w:jc w:val="both"/>
        <w:rPr>
          <w:rFonts w:hint="default" w:ascii="宋体" w:hAnsi="宋体" w:eastAsia="宋体"/>
          <w:sz w:val="28"/>
          <w:szCs w:val="28"/>
          <w:lang w:val="en-US" w:eastAsia="zh-CN"/>
        </w:rPr>
      </w:pPr>
      <w:r>
        <w:rPr>
          <w:rFonts w:hint="eastAsia" w:ascii="宋体" w:hAnsi="宋体"/>
          <w:sz w:val="28"/>
          <w:szCs w:val="28"/>
          <w:lang w:val="en-US" w:eastAsia="zh-CN"/>
        </w:rPr>
        <w:t>软件功能要求与航天院区会议信息系统中的场所管理系统、场所物联网系统及原OA系统无缝对接；功能保持一致。</w:t>
      </w:r>
    </w:p>
    <w:p w14:paraId="2FEA92C9">
      <w:pPr>
        <w:widowControl w:val="0"/>
        <w:numPr>
          <w:ilvl w:val="0"/>
          <w:numId w:val="4"/>
        </w:numPr>
        <w:spacing w:line="360" w:lineRule="auto"/>
        <w:ind w:firstLine="420" w:firstLineChars="0"/>
        <w:jc w:val="both"/>
        <w:rPr>
          <w:rFonts w:hint="default" w:ascii="宋体" w:hAnsi="宋体"/>
          <w:sz w:val="28"/>
          <w:szCs w:val="28"/>
          <w:lang w:val="en-US" w:eastAsia="zh-CN"/>
        </w:rPr>
      </w:pPr>
      <w:r>
        <w:rPr>
          <w:rFonts w:hint="eastAsia" w:ascii="宋体" w:hAnsi="宋体"/>
          <w:sz w:val="28"/>
          <w:szCs w:val="28"/>
          <w:lang w:val="en-US" w:eastAsia="zh-CN"/>
        </w:rPr>
        <w:t>远程视频会议分会场系统</w:t>
      </w:r>
    </w:p>
    <w:p w14:paraId="5824037C">
      <w:pPr>
        <w:widowControl w:val="0"/>
        <w:numPr>
          <w:ilvl w:val="0"/>
          <w:numId w:val="0"/>
        </w:numPr>
        <w:spacing w:line="360" w:lineRule="auto"/>
        <w:ind w:firstLine="420" w:firstLineChars="0"/>
        <w:jc w:val="both"/>
        <w:rPr>
          <w:rFonts w:hint="eastAsia" w:ascii="宋体" w:hAnsi="宋体" w:eastAsia="宋体"/>
          <w:sz w:val="28"/>
          <w:szCs w:val="28"/>
          <w:lang w:val="en-US" w:eastAsia="zh-CN"/>
        </w:rPr>
      </w:pPr>
      <w:r>
        <w:rPr>
          <w:rFonts w:hint="eastAsia" w:ascii="宋体" w:hAnsi="宋体" w:eastAsia="宋体"/>
          <w:sz w:val="28"/>
          <w:szCs w:val="28"/>
          <w:lang w:val="en-US" w:eastAsia="zh-CN"/>
        </w:rPr>
        <w:t>静居寺院区改造的会议室支持无缝接入航天院区的远程视频会议系统，实现统一管理调度分会场的视频会议硬件设备，实现在两个院区之间同步线上开会。</w:t>
      </w:r>
    </w:p>
    <w:p w14:paraId="4986A115">
      <w:pPr>
        <w:widowControl w:val="0"/>
        <w:numPr>
          <w:ilvl w:val="0"/>
          <w:numId w:val="0"/>
        </w:numPr>
        <w:spacing w:line="360" w:lineRule="auto"/>
        <w:ind w:firstLine="420" w:firstLineChars="0"/>
        <w:jc w:val="both"/>
        <w:rPr>
          <w:rFonts w:hint="default"/>
          <w:lang w:val="en-US" w:eastAsia="zh-CN"/>
        </w:rPr>
      </w:pPr>
      <w:r>
        <w:rPr>
          <w:rFonts w:hint="eastAsia" w:ascii="宋体" w:hAnsi="宋体" w:eastAsia="宋体"/>
          <w:sz w:val="28"/>
          <w:szCs w:val="28"/>
          <w:lang w:val="en-US" w:eastAsia="zh-CN"/>
        </w:rPr>
        <w:t>主要组成部分为分会场用的一台4K视频会议终端及一台视频会议专用高清云台摄像机</w:t>
      </w:r>
      <w:r>
        <w:rPr>
          <w:rFonts w:hint="eastAsia" w:ascii="宋体" w:hAnsi="宋体"/>
          <w:sz w:val="28"/>
          <w:szCs w:val="28"/>
          <w:lang w:val="en-US" w:eastAsia="zh-CN"/>
        </w:rPr>
        <w:t>，与航天院区视频会议平台保持完整功能对接。</w:t>
      </w:r>
    </w:p>
    <w:p w14:paraId="6D30CE9E">
      <w:pPr>
        <w:numPr>
          <w:ilvl w:val="0"/>
          <w:numId w:val="3"/>
        </w:numPr>
        <w:ind w:firstLine="560"/>
        <w:rPr>
          <w:rFonts w:hint="default" w:ascii="宋体" w:hAnsi="宋体"/>
          <w:b/>
          <w:bCs/>
          <w:sz w:val="30"/>
          <w:szCs w:val="30"/>
          <w:lang w:val="en-US" w:eastAsia="zh-CN"/>
        </w:rPr>
      </w:pPr>
      <w:r>
        <w:rPr>
          <w:rFonts w:hint="eastAsia" w:ascii="宋体" w:hAnsi="宋体"/>
          <w:b/>
          <w:bCs/>
          <w:sz w:val="30"/>
          <w:szCs w:val="30"/>
          <w:lang w:val="en-US" w:eastAsia="zh-CN"/>
        </w:rPr>
        <w:t>建设清单</w:t>
      </w:r>
    </w:p>
    <w:p w14:paraId="1FC11A56">
      <w:pPr>
        <w:widowControl w:val="0"/>
        <w:numPr>
          <w:ilvl w:val="0"/>
          <w:numId w:val="0"/>
        </w:numPr>
        <w:spacing w:line="360" w:lineRule="auto"/>
        <w:ind w:firstLine="560" w:firstLineChars="200"/>
        <w:jc w:val="both"/>
        <w:rPr>
          <w:rFonts w:hint="default" w:ascii="宋体" w:hAnsi="宋体" w:eastAsia="宋体"/>
          <w:lang w:val="en-US" w:eastAsia="zh-CN"/>
        </w:rPr>
      </w:pPr>
      <w:r>
        <w:rPr>
          <w:rFonts w:hint="eastAsia" w:ascii="宋体" w:hAnsi="宋体" w:eastAsia="宋体"/>
          <w:lang w:val="en-US" w:eastAsia="zh-CN"/>
        </w:rPr>
        <w:t>以下建设清单总价包含了设备调试、软硬件集成、弱电工程实施等其它辅助性安装工作。</w:t>
      </w:r>
    </w:p>
    <w:tbl>
      <w:tblPr>
        <w:tblStyle w:val="25"/>
        <w:tblW w:w="819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6"/>
        <w:gridCol w:w="3135"/>
        <w:gridCol w:w="1245"/>
        <w:gridCol w:w="1095"/>
      </w:tblGrid>
      <w:tr w14:paraId="6E2A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4F1">
            <w:pPr>
              <w:keepNext w:val="0"/>
              <w:keepLines w:val="0"/>
              <w:widowControl/>
              <w:suppressLineNumbers w:val="0"/>
              <w:ind w:left="0" w:leftChars="0" w:firstLine="0" w:firstLineChars="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序号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DD4">
            <w:pPr>
              <w:keepNext w:val="0"/>
              <w:keepLines w:val="0"/>
              <w:widowControl/>
              <w:suppressLineNumbers w:val="0"/>
              <w:ind w:left="0" w:leftChars="0" w:firstLine="0" w:firstLineChars="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设备名称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2E50">
            <w:pPr>
              <w:keepNext w:val="0"/>
              <w:keepLines w:val="0"/>
              <w:widowControl/>
              <w:suppressLineNumbers w:val="0"/>
              <w:ind w:left="0" w:leftChars="0" w:firstLine="0" w:firstLineChars="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F3CF">
            <w:pPr>
              <w:keepNext w:val="0"/>
              <w:keepLines w:val="0"/>
              <w:widowControl/>
              <w:suppressLineNumbers w:val="0"/>
              <w:ind w:left="0" w:leftChars="0" w:firstLine="0" w:firstLineChars="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单位</w:t>
            </w:r>
          </w:p>
        </w:tc>
      </w:tr>
      <w:tr w14:paraId="77C6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475" w:type="dxa"/>
          <w:trHeight w:val="26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10A5">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（一）会议音频系统</w:t>
            </w:r>
          </w:p>
        </w:tc>
      </w:tr>
      <w:tr w14:paraId="0732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10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E12">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数字会议主机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4C5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27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1387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732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0F68">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主席单元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533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67D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支</w:t>
            </w:r>
          </w:p>
        </w:tc>
      </w:tr>
      <w:tr w14:paraId="34E0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36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8A5">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代表单元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C16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314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支</w:t>
            </w:r>
          </w:p>
        </w:tc>
      </w:tr>
      <w:tr w14:paraId="415C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93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2967">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充电主机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969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7B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55ED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ABD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0D6">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音箱</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EA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1E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只</w:t>
            </w:r>
          </w:p>
        </w:tc>
      </w:tr>
      <w:tr w14:paraId="7E8E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C2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EF3">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音箱墙架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51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1A5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个</w:t>
            </w:r>
          </w:p>
        </w:tc>
      </w:tr>
      <w:tr w14:paraId="02C8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35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0D1">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吸顶音箱</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2C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21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只</w:t>
            </w:r>
          </w:p>
        </w:tc>
      </w:tr>
      <w:tr w14:paraId="4649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34C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609">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主声道功放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4BA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E94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3D75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36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97FC">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补声功放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4D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E4A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4B9A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E0B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2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智能反馈抑制器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F0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AA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7563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1D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150F">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无线话筒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95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79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套</w:t>
            </w:r>
          </w:p>
        </w:tc>
      </w:tr>
      <w:tr w14:paraId="4520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26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A843">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调音台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024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AD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78AC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A3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6E33">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媒体矩阵音频处理器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C5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F6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51FC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49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2C8">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智能电源时序器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01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E22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4A26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475" w:type="dxa"/>
          <w:trHeight w:val="26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5E">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（二）会议音频系统</w:t>
            </w:r>
          </w:p>
        </w:tc>
      </w:tr>
      <w:tr w14:paraId="1F93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991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0CBA">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lang w:val="en-US"/>
              </w:rPr>
            </w:pPr>
            <w:r>
              <w:rPr>
                <w:rFonts w:hint="default" w:ascii="Arial" w:hAnsi="Arial" w:eastAsia="宋体" w:cs="Arial"/>
                <w:i w:val="0"/>
                <w:iCs w:val="0"/>
                <w:color w:val="000000"/>
                <w:kern w:val="0"/>
                <w:sz w:val="22"/>
                <w:szCs w:val="22"/>
                <w:u w:val="none"/>
                <w:lang w:val="en-US" w:eastAsia="zh-CN" w:bidi="ar"/>
              </w:rPr>
              <w:t>室内全彩</w:t>
            </w:r>
            <w:r>
              <w:rPr>
                <w:rFonts w:hint="eastAsia" w:ascii="Arial" w:hAnsi="Arial" w:cs="Arial"/>
                <w:i w:val="0"/>
                <w:iCs w:val="0"/>
                <w:color w:val="000000"/>
                <w:kern w:val="0"/>
                <w:sz w:val="22"/>
                <w:szCs w:val="22"/>
                <w:u w:val="none"/>
                <w:lang w:val="en-US" w:eastAsia="zh-CN" w:bidi="ar"/>
              </w:rPr>
              <w:t>LED显示屏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49D">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rPr>
            </w:pPr>
            <w:r>
              <w:rPr>
                <w:rFonts w:hint="eastAsia" w:ascii="Arial" w:hAnsi="Arial" w:cs="Arial"/>
                <w:i w:val="0"/>
                <w:iCs w:val="0"/>
                <w:color w:val="000000"/>
                <w:kern w:val="0"/>
                <w:sz w:val="22"/>
                <w:szCs w:val="22"/>
                <w:highlight w:val="none"/>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5F4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r w14:paraId="24BD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356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4D05">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全彩电源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2F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2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1EA1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2D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9051">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全彩接收卡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217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07B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张</w:t>
            </w:r>
          </w:p>
        </w:tc>
      </w:tr>
      <w:tr w14:paraId="20A9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C6F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827">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专用框架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1EE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5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r w14:paraId="3EA8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EE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D1C">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视频处理器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9B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bookmarkStart w:id="0" w:name="_GoBack"/>
            <w:bookmarkEnd w:id="0"/>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3A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047A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475" w:type="dxa"/>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D9C">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（三）会议音频系统</w:t>
            </w:r>
          </w:p>
        </w:tc>
      </w:tr>
      <w:tr w14:paraId="2380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D82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FBA">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智能会场信息牌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54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2B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0504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659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D1D4">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智能会场信息系统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30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15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套</w:t>
            </w:r>
          </w:p>
        </w:tc>
      </w:tr>
      <w:tr w14:paraId="09AC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475" w:type="dxa"/>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B96">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（四）会议音频系统</w:t>
            </w:r>
          </w:p>
        </w:tc>
      </w:tr>
      <w:tr w14:paraId="033A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85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A00">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4K视频会议终端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04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30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r w14:paraId="6A8C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993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5F9">
            <w:pPr>
              <w:keepNext w:val="0"/>
              <w:keepLines w:val="0"/>
              <w:widowControl/>
              <w:suppressLineNumbers w:val="0"/>
              <w:ind w:left="0" w:leftChars="0" w:firstLine="0" w:firstLineChars="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视频会议高清摄像头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17B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A7B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台</w:t>
            </w:r>
          </w:p>
        </w:tc>
      </w:tr>
    </w:tbl>
    <w:p w14:paraId="24373FAA">
      <w:pPr>
        <w:ind w:left="0" w:leftChars="0" w:firstLine="0" w:firstLineChars="0"/>
        <w:jc w:val="both"/>
        <w:rPr>
          <w:rFonts w:hint="eastAsia" w:ascii="宋体" w:hAnsi="宋体" w:eastAsia="宋体"/>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细黑一简体">
    <w:altName w:val="黑体"/>
    <w:panose1 w:val="00000000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7CA2">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1D0A">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D20A">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E5F2">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11C4">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F49F">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7660D"/>
    <w:multiLevelType w:val="singleLevel"/>
    <w:tmpl w:val="9AE7660D"/>
    <w:lvl w:ilvl="0" w:tentative="0">
      <w:start w:val="1"/>
      <w:numFmt w:val="chineseCounting"/>
      <w:suff w:val="nothing"/>
      <w:lvlText w:val="%1、"/>
      <w:lvlJc w:val="left"/>
      <w:rPr>
        <w:rFonts w:hint="eastAsia"/>
      </w:rPr>
    </w:lvl>
  </w:abstractNum>
  <w:abstractNum w:abstractNumId="1">
    <w:nsid w:val="C6DCA8C3"/>
    <w:multiLevelType w:val="singleLevel"/>
    <w:tmpl w:val="C6DCA8C3"/>
    <w:lvl w:ilvl="0" w:tentative="0">
      <w:start w:val="1"/>
      <w:numFmt w:val="chineseCounting"/>
      <w:suff w:val="nothing"/>
      <w:lvlText w:val="（%1）"/>
      <w:lvlJc w:val="left"/>
      <w:rPr>
        <w:rFonts w:hint="eastAsia"/>
      </w:rPr>
    </w:lvl>
  </w:abstractNum>
  <w:abstractNum w:abstractNumId="2">
    <w:nsid w:val="E45B2905"/>
    <w:multiLevelType w:val="singleLevel"/>
    <w:tmpl w:val="E45B2905"/>
    <w:lvl w:ilvl="0" w:tentative="0">
      <w:start w:val="2"/>
      <w:numFmt w:val="decimal"/>
      <w:suff w:val="nothing"/>
      <w:lvlText w:val="%1、"/>
      <w:lvlJc w:val="left"/>
    </w:lvl>
  </w:abstractNum>
  <w:abstractNum w:abstractNumId="3">
    <w:nsid w:val="19D83C27"/>
    <w:multiLevelType w:val="multilevel"/>
    <w:tmpl w:val="19D83C27"/>
    <w:lvl w:ilvl="0" w:tentative="0">
      <w:start w:val="1"/>
      <w:numFmt w:val="decimal"/>
      <w:pStyle w:val="3"/>
      <w:isLgl/>
      <w:suff w:val="space"/>
      <w:lvlText w:val="%1."/>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isLgl/>
      <w:lvlText w:val="%1.%2.%3.%4.%5."/>
      <w:lvlJc w:val="left"/>
      <w:pPr>
        <w:tabs>
          <w:tab w:val="left" w:pos="992"/>
        </w:tabs>
        <w:ind w:left="0" w:firstLine="0"/>
      </w:pPr>
      <w:rPr>
        <w:rFonts w:hint="eastAsia"/>
      </w:rPr>
    </w:lvl>
    <w:lvl w:ilvl="5" w:tentative="0">
      <w:start w:val="1"/>
      <w:numFmt w:val="decimal"/>
      <w:isLgl/>
      <w:lvlText w:val="%1.%2.%3.%4.%5.%6."/>
      <w:lvlJc w:val="left"/>
      <w:pPr>
        <w:tabs>
          <w:tab w:val="left" w:pos="1134"/>
        </w:tabs>
        <w:ind w:left="0" w:firstLine="0"/>
      </w:pPr>
      <w:rPr>
        <w:rFonts w:hint="eastAsia"/>
      </w:rPr>
    </w:lvl>
    <w:lvl w:ilvl="6" w:tentative="0">
      <w:start w:val="1"/>
      <w:numFmt w:val="decimal"/>
      <w:lvlText w:val="%1.%2.%3.%4.%5.%6.%7."/>
      <w:lvlJc w:val="left"/>
      <w:pPr>
        <w:tabs>
          <w:tab w:val="left" w:pos="1276"/>
        </w:tabs>
        <w:ind w:left="0" w:firstLine="0"/>
      </w:pPr>
      <w:rPr>
        <w:rFonts w:hint="eastAsia"/>
      </w:rPr>
    </w:lvl>
    <w:lvl w:ilvl="7" w:tentative="0">
      <w:start w:val="1"/>
      <w:numFmt w:val="decimal"/>
      <w:lvlText w:val="%1.%2.%3.%4.%5.%6.%7.%8."/>
      <w:lvlJc w:val="left"/>
      <w:pPr>
        <w:tabs>
          <w:tab w:val="left" w:pos="1418"/>
        </w:tabs>
        <w:ind w:left="0" w:firstLine="0"/>
      </w:pPr>
      <w:rPr>
        <w:rFonts w:hint="eastAsia"/>
      </w:rPr>
    </w:lvl>
    <w:lvl w:ilvl="8" w:tentative="0">
      <w:start w:val="1"/>
      <w:numFmt w:val="decimal"/>
      <w:lvlText w:val="%1.%2.%3.%4.%5.%6.%7.%8.%9."/>
      <w:lvlJc w:val="left"/>
      <w:pPr>
        <w:tabs>
          <w:tab w:val="left" w:pos="1559"/>
        </w:tabs>
        <w:ind w:left="0" w:firstLine="0"/>
      </w:pPr>
      <w:rPr>
        <w:rFonts w:hint="eastAsia"/>
      </w:rPr>
    </w:lvl>
  </w:abstractNum>
  <w:abstractNum w:abstractNumId="4">
    <w:nsid w:val="45C97BE8"/>
    <w:multiLevelType w:val="multilevel"/>
    <w:tmpl w:val="45C97BE8"/>
    <w:lvl w:ilvl="0" w:tentative="0">
      <w:start w:val="1"/>
      <w:numFmt w:val="bullet"/>
      <w:pStyle w:val="35"/>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15"/>
    <w:rsid w:val="0000242E"/>
    <w:rsid w:val="000104CE"/>
    <w:rsid w:val="00026DC8"/>
    <w:rsid w:val="0003383B"/>
    <w:rsid w:val="0004374A"/>
    <w:rsid w:val="00077846"/>
    <w:rsid w:val="00093540"/>
    <w:rsid w:val="00093AD9"/>
    <w:rsid w:val="000B35C4"/>
    <w:rsid w:val="000D33BB"/>
    <w:rsid w:val="000E1DB9"/>
    <w:rsid w:val="000E2A3D"/>
    <w:rsid w:val="000F04F7"/>
    <w:rsid w:val="001003B5"/>
    <w:rsid w:val="00132DCB"/>
    <w:rsid w:val="00136436"/>
    <w:rsid w:val="00163F67"/>
    <w:rsid w:val="00194D0D"/>
    <w:rsid w:val="001B53FA"/>
    <w:rsid w:val="001D0AD1"/>
    <w:rsid w:val="0021487F"/>
    <w:rsid w:val="00215F74"/>
    <w:rsid w:val="00216738"/>
    <w:rsid w:val="002229BD"/>
    <w:rsid w:val="00241ABF"/>
    <w:rsid w:val="00290901"/>
    <w:rsid w:val="002A2946"/>
    <w:rsid w:val="002A3D13"/>
    <w:rsid w:val="002C4FF2"/>
    <w:rsid w:val="002D7C79"/>
    <w:rsid w:val="002E04A7"/>
    <w:rsid w:val="0033426E"/>
    <w:rsid w:val="00370392"/>
    <w:rsid w:val="00376D84"/>
    <w:rsid w:val="00383D98"/>
    <w:rsid w:val="003A22B6"/>
    <w:rsid w:val="003A474B"/>
    <w:rsid w:val="003B2CE6"/>
    <w:rsid w:val="003D5695"/>
    <w:rsid w:val="004014BB"/>
    <w:rsid w:val="00426D34"/>
    <w:rsid w:val="004334EA"/>
    <w:rsid w:val="00457A81"/>
    <w:rsid w:val="00460A87"/>
    <w:rsid w:val="004973FC"/>
    <w:rsid w:val="004D4876"/>
    <w:rsid w:val="00515BCB"/>
    <w:rsid w:val="00542591"/>
    <w:rsid w:val="0057570F"/>
    <w:rsid w:val="00580AE9"/>
    <w:rsid w:val="00585160"/>
    <w:rsid w:val="00594190"/>
    <w:rsid w:val="00594CDE"/>
    <w:rsid w:val="005A2EE7"/>
    <w:rsid w:val="0061254F"/>
    <w:rsid w:val="006129CD"/>
    <w:rsid w:val="00616601"/>
    <w:rsid w:val="00692E48"/>
    <w:rsid w:val="006D2470"/>
    <w:rsid w:val="00735735"/>
    <w:rsid w:val="007536A7"/>
    <w:rsid w:val="00791A8C"/>
    <w:rsid w:val="007C07AB"/>
    <w:rsid w:val="007C2E48"/>
    <w:rsid w:val="007D1F5A"/>
    <w:rsid w:val="007D3D4B"/>
    <w:rsid w:val="007E75DB"/>
    <w:rsid w:val="00801232"/>
    <w:rsid w:val="00832E45"/>
    <w:rsid w:val="0083717E"/>
    <w:rsid w:val="008379D4"/>
    <w:rsid w:val="00852289"/>
    <w:rsid w:val="0087424B"/>
    <w:rsid w:val="008B6D73"/>
    <w:rsid w:val="008D42F7"/>
    <w:rsid w:val="008F1FBA"/>
    <w:rsid w:val="00907ABD"/>
    <w:rsid w:val="00914821"/>
    <w:rsid w:val="0091780B"/>
    <w:rsid w:val="00956F36"/>
    <w:rsid w:val="009A1500"/>
    <w:rsid w:val="009A78BD"/>
    <w:rsid w:val="009E4F5B"/>
    <w:rsid w:val="00A05CC9"/>
    <w:rsid w:val="00A21D0F"/>
    <w:rsid w:val="00A46975"/>
    <w:rsid w:val="00A5076C"/>
    <w:rsid w:val="00A84B6F"/>
    <w:rsid w:val="00A913AE"/>
    <w:rsid w:val="00AC757E"/>
    <w:rsid w:val="00AD09E0"/>
    <w:rsid w:val="00AE78A6"/>
    <w:rsid w:val="00AF6F64"/>
    <w:rsid w:val="00B22275"/>
    <w:rsid w:val="00B25AE1"/>
    <w:rsid w:val="00B3492C"/>
    <w:rsid w:val="00B66F52"/>
    <w:rsid w:val="00B90ACF"/>
    <w:rsid w:val="00BA1137"/>
    <w:rsid w:val="00BB1B0C"/>
    <w:rsid w:val="00BC7313"/>
    <w:rsid w:val="00BD7658"/>
    <w:rsid w:val="00BF0115"/>
    <w:rsid w:val="00C01735"/>
    <w:rsid w:val="00C05862"/>
    <w:rsid w:val="00C106BE"/>
    <w:rsid w:val="00C21FA4"/>
    <w:rsid w:val="00C34EBD"/>
    <w:rsid w:val="00C423A6"/>
    <w:rsid w:val="00C542A9"/>
    <w:rsid w:val="00C6743A"/>
    <w:rsid w:val="00CA4E16"/>
    <w:rsid w:val="00CA5E2F"/>
    <w:rsid w:val="00CC6EDF"/>
    <w:rsid w:val="00CE78DD"/>
    <w:rsid w:val="00CF1520"/>
    <w:rsid w:val="00D20466"/>
    <w:rsid w:val="00D67CF7"/>
    <w:rsid w:val="00D76097"/>
    <w:rsid w:val="00D83637"/>
    <w:rsid w:val="00D8393F"/>
    <w:rsid w:val="00D87F6A"/>
    <w:rsid w:val="00DA18F4"/>
    <w:rsid w:val="00DB5FAE"/>
    <w:rsid w:val="00E17FD4"/>
    <w:rsid w:val="00E25443"/>
    <w:rsid w:val="00E25516"/>
    <w:rsid w:val="00E558AF"/>
    <w:rsid w:val="00E569A2"/>
    <w:rsid w:val="00E62287"/>
    <w:rsid w:val="00E74612"/>
    <w:rsid w:val="00E85329"/>
    <w:rsid w:val="00E875B7"/>
    <w:rsid w:val="00E922FA"/>
    <w:rsid w:val="00EA4A52"/>
    <w:rsid w:val="00EB47C3"/>
    <w:rsid w:val="00EB657D"/>
    <w:rsid w:val="00EC08E6"/>
    <w:rsid w:val="00F856F2"/>
    <w:rsid w:val="049455E6"/>
    <w:rsid w:val="146D0DAF"/>
    <w:rsid w:val="2028516B"/>
    <w:rsid w:val="289F33E0"/>
    <w:rsid w:val="2A827863"/>
    <w:rsid w:val="2B0B4BCB"/>
    <w:rsid w:val="2CFB687F"/>
    <w:rsid w:val="2E790546"/>
    <w:rsid w:val="49C25581"/>
    <w:rsid w:val="5B3845B5"/>
    <w:rsid w:val="6A7D5643"/>
    <w:rsid w:val="7346377A"/>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0" w:name="Normal Indent"/>
    <w:lsdException w:unhideWhenUsed="0" w:uiPriority="0" w:name="footnote text"/>
    <w:lsdException w:unhideWhenUsed="0" w:uiPriority="0" w:name="annotation text"/>
    <w:lsdException w:qFormat="1" w:unhideWhenUsed="0" w:uiPriority="0" w:name="header"/>
    <w:lsdException w:qFormat="1" w:unhideWhenUsed="0" w:uiPriority="99" w:name="footer"/>
    <w:lsdException w:unhideWhenUsed="0" w:uiPriority="0" w:name="index heading"/>
    <w:lsdException w:qFormat="1" w:unhideWhenUsed="0" w:uiPriority="35" w:name="caption"/>
    <w:lsdException w:unhideWhenUsed="0" w:uiPriority="0" w:name="table of figures"/>
    <w:lsdException w:unhideWhenUsed="0" w:uiPriority="0"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10" w:name="Title"/>
    <w:lsdException w:unhideWhenUsed="0" w:uiPriority="0" w:name="Closing"/>
    <w:lsdException w:unhideWhenUsed="0" w:uiPriority="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11" w:name="Subtitle"/>
    <w:lsdException w:unhideWhenUsed="0" w:uiPriority="0" w:name="Salutation"/>
    <w:lsdException w:unhideWhenUsed="0" w:uiPriority="0" w:name="Date"/>
    <w:lsdException w:unhideWhenUsed="0" w:uiPriority="0" w:name="Body Text First Indent"/>
    <w:lsdException w:qFormat="1" w:unhideWhenUsed="0" w:uiPriority="0" w:name="Body Text First Indent 2"/>
    <w:lsdException w:unhideWhenUsed="0" w:uiPriority="0" w:name="Note Heading"/>
    <w:lsdException w:unhideWhenUsed="0" w:uiPriority="0" w:name="Body Text 2"/>
    <w:lsdException w:qFormat="1" w:unhideWhenUsed="0" w:uiPriority="0" w:name="Body Text 3"/>
    <w:lsdException w:unhideWhenUsed="0" w:uiPriority="0" w:name="Body Text Indent 2"/>
    <w:lsdException w:unhideWhenUsed="0" w:uiPriority="0" w:name="Body Text Indent 3"/>
    <w:lsdException w:unhideWhenUsed="0" w:uiPriority="0" w:name="Block Text"/>
    <w:lsdException w:qFormat="1"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name="Plain Text"/>
    <w:lsdException w:unhideWhenUsed="0" w:uiPriority="0" w:name="E-mail Signature"/>
    <w:lsdException w:qFormat="1" w:unhideWhenUsed="0"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2"/>
    <w:qFormat/>
    <w:uiPriority w:val="9"/>
    <w:pPr>
      <w:keepNext/>
      <w:keepLines/>
      <w:numPr>
        <w:ilvl w:val="0"/>
        <w:numId w:val="1"/>
      </w:numPr>
      <w:adjustRightInd w:val="0"/>
      <w:snapToGrid w:val="0"/>
      <w:spacing w:before="340" w:after="330" w:line="240" w:lineRule="auto"/>
      <w:ind w:firstLineChars="0"/>
      <w:outlineLvl w:val="0"/>
    </w:pPr>
    <w:rPr>
      <w:b/>
      <w:bCs/>
      <w:snapToGrid w:val="0"/>
      <w:kern w:val="0"/>
      <w:sz w:val="36"/>
      <w:szCs w:val="44"/>
    </w:rPr>
  </w:style>
  <w:style w:type="paragraph" w:styleId="4">
    <w:name w:val="heading 2"/>
    <w:basedOn w:val="1"/>
    <w:next w:val="1"/>
    <w:link w:val="33"/>
    <w:qFormat/>
    <w:uiPriority w:val="9"/>
    <w:pPr>
      <w:keepNext/>
      <w:keepLines/>
      <w:numPr>
        <w:ilvl w:val="1"/>
        <w:numId w:val="1"/>
      </w:numPr>
      <w:adjustRightInd w:val="0"/>
      <w:snapToGrid w:val="0"/>
      <w:spacing w:before="260" w:after="260" w:line="240" w:lineRule="auto"/>
      <w:ind w:firstLineChars="0"/>
      <w:outlineLvl w:val="1"/>
    </w:pPr>
    <w:rPr>
      <w:rFonts w:cstheme="majorBidi"/>
      <w:b/>
      <w:bCs/>
      <w:snapToGrid w:val="0"/>
      <w:kern w:val="0"/>
      <w:sz w:val="36"/>
      <w:szCs w:val="32"/>
    </w:rPr>
  </w:style>
  <w:style w:type="paragraph" w:styleId="5">
    <w:name w:val="heading 3"/>
    <w:basedOn w:val="1"/>
    <w:next w:val="1"/>
    <w:link w:val="50"/>
    <w:qFormat/>
    <w:uiPriority w:val="9"/>
    <w:pPr>
      <w:keepNext/>
      <w:keepLines/>
      <w:numPr>
        <w:ilvl w:val="2"/>
        <w:numId w:val="1"/>
      </w:numPr>
      <w:adjustRightInd w:val="0"/>
      <w:snapToGrid w:val="0"/>
      <w:spacing w:before="260" w:after="260" w:line="240" w:lineRule="auto"/>
      <w:ind w:firstLineChars="0"/>
      <w:outlineLvl w:val="2"/>
    </w:pPr>
    <w:rPr>
      <w:rFonts w:eastAsia="微软雅黑"/>
      <w:b/>
      <w:bCs/>
      <w:snapToGrid w:val="0"/>
      <w:kern w:val="0"/>
      <w:szCs w:val="32"/>
    </w:rPr>
  </w:style>
  <w:style w:type="paragraph" w:styleId="6">
    <w:name w:val="heading 4"/>
    <w:basedOn w:val="1"/>
    <w:next w:val="1"/>
    <w:link w:val="51"/>
    <w:qFormat/>
    <w:uiPriority w:val="9"/>
    <w:pPr>
      <w:keepNext/>
      <w:keepLines/>
      <w:numPr>
        <w:ilvl w:val="3"/>
        <w:numId w:val="1"/>
      </w:numPr>
      <w:adjustRightInd w:val="0"/>
      <w:snapToGrid w:val="0"/>
      <w:spacing w:before="280" w:after="290" w:line="240" w:lineRule="auto"/>
      <w:ind w:firstLineChars="0"/>
      <w:outlineLvl w:val="3"/>
    </w:pPr>
    <w:rPr>
      <w:b/>
      <w:bCs/>
      <w:snapToGrid w:val="0"/>
      <w:kern w:val="0"/>
      <w:sz w:val="36"/>
      <w:szCs w:val="28"/>
    </w:rPr>
  </w:style>
  <w:style w:type="paragraph" w:styleId="7">
    <w:name w:val="heading 5"/>
    <w:basedOn w:val="5"/>
    <w:next w:val="1"/>
    <w:link w:val="34"/>
    <w:autoRedefine/>
    <w:qFormat/>
    <w:uiPriority w:val="0"/>
    <w:pPr>
      <w:outlineLvl w:val="4"/>
    </w:pPr>
    <w:rPr>
      <w:rFonts w:ascii="微软雅黑" w:hAnsi="微软雅黑"/>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8">
    <w:name w:val="toc 7"/>
    <w:basedOn w:val="1"/>
    <w:next w:val="1"/>
    <w:semiHidden/>
    <w:qFormat/>
    <w:uiPriority w:val="39"/>
    <w:pPr>
      <w:ind w:left="2520" w:leftChars="1200"/>
    </w:pPr>
  </w:style>
  <w:style w:type="paragraph" w:styleId="9">
    <w:name w:val="Normal Indent"/>
    <w:basedOn w:val="1"/>
    <w:semiHidden/>
    <w:qFormat/>
    <w:uiPriority w:val="0"/>
    <w:pPr>
      <w:spacing w:line="240" w:lineRule="auto"/>
      <w:ind w:firstLine="420" w:firstLineChars="0"/>
    </w:pPr>
    <w:rPr>
      <w:sz w:val="21"/>
      <w:szCs w:val="20"/>
    </w:rPr>
  </w:style>
  <w:style w:type="paragraph" w:styleId="10">
    <w:name w:val="Body Text 3"/>
    <w:basedOn w:val="1"/>
    <w:link w:val="63"/>
    <w:semiHidden/>
    <w:qFormat/>
    <w:uiPriority w:val="0"/>
    <w:pPr>
      <w:spacing w:after="120"/>
    </w:pPr>
    <w:rPr>
      <w:sz w:val="16"/>
      <w:szCs w:val="16"/>
    </w:rPr>
  </w:style>
  <w:style w:type="paragraph" w:styleId="11">
    <w:name w:val="Body Text Indent"/>
    <w:basedOn w:val="1"/>
    <w:link w:val="54"/>
    <w:semiHidden/>
    <w:qFormat/>
    <w:uiPriority w:val="99"/>
    <w:pPr>
      <w:spacing w:after="120"/>
      <w:ind w:left="420" w:leftChars="200"/>
    </w:pPr>
  </w:style>
  <w:style w:type="paragraph" w:styleId="12">
    <w:name w:val="toc 5"/>
    <w:basedOn w:val="1"/>
    <w:next w:val="1"/>
    <w:semiHidden/>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semiHidden/>
    <w:qFormat/>
    <w:uiPriority w:val="39"/>
    <w:pPr>
      <w:ind w:left="2940" w:leftChars="1400"/>
    </w:pPr>
  </w:style>
  <w:style w:type="paragraph" w:styleId="15">
    <w:name w:val="Balloon Text"/>
    <w:basedOn w:val="1"/>
    <w:link w:val="56"/>
    <w:semiHidden/>
    <w:qFormat/>
    <w:uiPriority w:val="99"/>
    <w:pPr>
      <w:spacing w:line="240" w:lineRule="auto"/>
    </w:pPr>
    <w:rPr>
      <w:sz w:val="18"/>
      <w:szCs w:val="18"/>
    </w:rPr>
  </w:style>
  <w:style w:type="paragraph" w:styleId="16">
    <w:name w:val="footer"/>
    <w:basedOn w:val="1"/>
    <w:link w:val="53"/>
    <w:semiHidden/>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style>
  <w:style w:type="paragraph" w:styleId="19">
    <w:name w:val="toc 4"/>
    <w:basedOn w:val="1"/>
    <w:next w:val="1"/>
    <w:semiHidden/>
    <w:qFormat/>
    <w:uiPriority w:val="39"/>
    <w:pPr>
      <w:ind w:left="1260" w:leftChars="600"/>
    </w:pPr>
  </w:style>
  <w:style w:type="paragraph" w:styleId="20">
    <w:name w:val="toc 6"/>
    <w:basedOn w:val="1"/>
    <w:next w:val="1"/>
    <w:semiHidden/>
    <w:qFormat/>
    <w:uiPriority w:val="39"/>
    <w:pPr>
      <w:ind w:left="2100" w:leftChars="1000"/>
    </w:pPr>
  </w:style>
  <w:style w:type="paragraph" w:styleId="21">
    <w:name w:val="toc 2"/>
    <w:basedOn w:val="1"/>
    <w:next w:val="1"/>
    <w:qFormat/>
    <w:uiPriority w:val="39"/>
    <w:pPr>
      <w:ind w:left="420" w:leftChars="200"/>
    </w:pPr>
  </w:style>
  <w:style w:type="paragraph" w:styleId="22">
    <w:name w:val="toc 9"/>
    <w:basedOn w:val="1"/>
    <w:next w:val="1"/>
    <w:semiHidden/>
    <w:qFormat/>
    <w:uiPriority w:val="39"/>
    <w:pPr>
      <w:ind w:left="3360" w:leftChars="1600"/>
    </w:pPr>
  </w:style>
  <w:style w:type="paragraph" w:styleId="2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styleId="24">
    <w:name w:val="Body Text First Indent 2"/>
    <w:basedOn w:val="11"/>
    <w:link w:val="55"/>
    <w:semiHidden/>
    <w:qFormat/>
    <w:uiPriority w:val="0"/>
    <w:pPr>
      <w:ind w:firstLine="420"/>
    </w:pPr>
    <w:rPr>
      <w:sz w:val="21"/>
    </w:rPr>
  </w:style>
  <w:style w:type="table" w:styleId="26">
    <w:name w:val="Table Grid"/>
    <w:basedOn w:val="25"/>
    <w:qFormat/>
    <w:uiPriority w:val="39"/>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Emphasis"/>
    <w:basedOn w:val="27"/>
    <w:qFormat/>
    <w:uiPriority w:val="20"/>
    <w:rPr>
      <w:i/>
      <w:iCs/>
      <w:color w:val="auto"/>
    </w:rPr>
  </w:style>
  <w:style w:type="character" w:styleId="30">
    <w:name w:val="Hyperlink"/>
    <w:qFormat/>
    <w:uiPriority w:val="99"/>
    <w:rPr>
      <w:color w:val="0000FF"/>
      <w:u w:val="single"/>
    </w:rPr>
  </w:style>
  <w:style w:type="paragraph" w:customStyle="1" w:styleId="31">
    <w:name w:val="标题2"/>
    <w:basedOn w:val="4"/>
    <w:link w:val="32"/>
    <w:autoRedefine/>
    <w:qFormat/>
    <w:uiPriority w:val="0"/>
    <w:pPr>
      <w:numPr>
        <w:ilvl w:val="0"/>
        <w:numId w:val="0"/>
      </w:numPr>
      <w:ind w:right="240" w:rightChars="100"/>
    </w:pPr>
    <w:rPr>
      <w:rFonts w:cstheme="minorBidi"/>
      <w:sz w:val="32"/>
    </w:rPr>
  </w:style>
  <w:style w:type="character" w:customStyle="1" w:styleId="32">
    <w:name w:val="标题2 字符"/>
    <w:basedOn w:val="33"/>
    <w:link w:val="31"/>
    <w:qFormat/>
    <w:uiPriority w:val="0"/>
    <w:rPr>
      <w:rFonts w:cstheme="minorBidi"/>
      <w:snapToGrid w:val="0"/>
      <w:kern w:val="0"/>
      <w:sz w:val="32"/>
      <w:szCs w:val="32"/>
    </w:rPr>
  </w:style>
  <w:style w:type="character" w:customStyle="1" w:styleId="33">
    <w:name w:val="标题 2 Char"/>
    <w:basedOn w:val="27"/>
    <w:link w:val="4"/>
    <w:qFormat/>
    <w:uiPriority w:val="9"/>
    <w:rPr>
      <w:rFonts w:cstheme="majorBidi"/>
      <w:b/>
      <w:bCs/>
      <w:snapToGrid w:val="0"/>
      <w:kern w:val="0"/>
      <w:sz w:val="36"/>
      <w:szCs w:val="32"/>
    </w:rPr>
  </w:style>
  <w:style w:type="character" w:customStyle="1" w:styleId="34">
    <w:name w:val="标题 5 Char"/>
    <w:basedOn w:val="27"/>
    <w:link w:val="7"/>
    <w:qFormat/>
    <w:uiPriority w:val="0"/>
    <w:rPr>
      <w:rFonts w:ascii="微软雅黑" w:hAnsi="微软雅黑" w:eastAsia="微软雅黑"/>
      <w:b/>
      <w:bCs/>
      <w:snapToGrid w:val="0"/>
      <w:kern w:val="0"/>
      <w:sz w:val="32"/>
      <w:szCs w:val="32"/>
    </w:rPr>
  </w:style>
  <w:style w:type="paragraph" w:customStyle="1" w:styleId="35">
    <w:name w:val="项目符2"/>
    <w:basedOn w:val="1"/>
    <w:semiHidden/>
    <w:qFormat/>
    <w:uiPriority w:val="0"/>
    <w:pPr>
      <w:numPr>
        <w:ilvl w:val="0"/>
        <w:numId w:val="2"/>
      </w:numPr>
      <w:tabs>
        <w:tab w:val="left" w:pos="851"/>
      </w:tabs>
      <w:spacing w:after="156" w:afterLines="50" w:line="240" w:lineRule="auto"/>
      <w:ind w:firstLine="0" w:firstLineChars="0"/>
    </w:pPr>
    <w:rPr>
      <w:sz w:val="21"/>
      <w:szCs w:val="21"/>
    </w:rPr>
  </w:style>
  <w:style w:type="paragraph" w:customStyle="1" w:styleId="36">
    <w:name w:val="列出段落1"/>
    <w:basedOn w:val="1"/>
    <w:link w:val="37"/>
    <w:semiHidden/>
    <w:qFormat/>
    <w:uiPriority w:val="34"/>
    <w:pPr>
      <w:ind w:firstLine="420"/>
    </w:pPr>
    <w:rPr>
      <w:rFonts w:ascii="Calibri" w:hAnsi="Calibri" w:cs="黑体"/>
      <w:sz w:val="21"/>
      <w:szCs w:val="22"/>
    </w:rPr>
  </w:style>
  <w:style w:type="character" w:customStyle="1" w:styleId="37">
    <w:name w:val="列出段落 Char"/>
    <w:link w:val="36"/>
    <w:semiHidden/>
    <w:qFormat/>
    <w:uiPriority w:val="34"/>
    <w:rPr>
      <w:rFonts w:ascii="Calibri" w:hAnsi="Calibri" w:cs="黑体"/>
      <w:sz w:val="21"/>
      <w:szCs w:val="22"/>
    </w:rPr>
  </w:style>
  <w:style w:type="paragraph" w:customStyle="1" w:styleId="38">
    <w:name w:val="普通(网站)1"/>
    <w:basedOn w:val="1"/>
    <w:semiHidden/>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39">
    <w:name w:val="列出段落2"/>
    <w:basedOn w:val="1"/>
    <w:semiHidden/>
    <w:qFormat/>
    <w:uiPriority w:val="0"/>
    <w:pPr>
      <w:spacing w:line="240" w:lineRule="auto"/>
      <w:ind w:firstLine="420"/>
    </w:pPr>
    <w:rPr>
      <w:rFonts w:ascii="Calibri" w:hAnsi="Calibri"/>
      <w:sz w:val="21"/>
      <w:szCs w:val="22"/>
    </w:rPr>
  </w:style>
  <w:style w:type="character" w:customStyle="1" w:styleId="40">
    <w:name w:val="headline-content2"/>
    <w:semiHidden/>
    <w:qFormat/>
    <w:uiPriority w:val="0"/>
  </w:style>
  <w:style w:type="paragraph" w:customStyle="1" w:styleId="41">
    <w:name w:val="TOC 标题1"/>
    <w:basedOn w:val="3"/>
    <w:next w:val="1"/>
    <w:semiHidden/>
    <w:qFormat/>
    <w:uiPriority w:val="39"/>
    <w:pPr>
      <w:widowControl/>
      <w:numPr>
        <w:numId w:val="0"/>
      </w:numPr>
      <w:adjustRightInd/>
      <w:snapToGrid/>
      <w:spacing w:before="240" w:after="0" w:line="259" w:lineRule="auto"/>
      <w:jc w:val="left"/>
      <w:outlineLvl w:val="9"/>
    </w:pPr>
    <w:rPr>
      <w:rFonts w:asciiTheme="majorHAnsi" w:hAnsiTheme="majorHAnsi" w:eastAsiaTheme="majorEastAsia" w:cstheme="majorBidi"/>
      <w:b w:val="0"/>
      <w:bCs w:val="0"/>
      <w:snapToGrid/>
      <w:color w:val="2F5597" w:themeColor="accent1" w:themeShade="BF"/>
      <w:sz w:val="32"/>
      <w:szCs w:val="32"/>
    </w:rPr>
  </w:style>
  <w:style w:type="character" w:customStyle="1" w:styleId="42">
    <w:name w:val="标题 1 Char"/>
    <w:basedOn w:val="27"/>
    <w:link w:val="3"/>
    <w:qFormat/>
    <w:uiPriority w:val="9"/>
    <w:rPr>
      <w:b/>
      <w:bCs/>
      <w:snapToGrid w:val="0"/>
      <w:kern w:val="0"/>
      <w:sz w:val="36"/>
      <w:szCs w:val="44"/>
    </w:rPr>
  </w:style>
  <w:style w:type="character" w:customStyle="1" w:styleId="43">
    <w:name w:val="15"/>
    <w:basedOn w:val="27"/>
    <w:semiHidden/>
    <w:qFormat/>
    <w:uiPriority w:val="0"/>
    <w:rPr>
      <w:rFonts w:hint="default" w:ascii="Times New Roman" w:hAnsi="Times New Roman" w:cs="Times New Roman"/>
      <w:b/>
      <w:bCs/>
    </w:rPr>
  </w:style>
  <w:style w:type="paragraph" w:customStyle="1" w:styleId="44">
    <w:name w:val="GW-正文"/>
    <w:basedOn w:val="1"/>
    <w:link w:val="45"/>
    <w:qFormat/>
    <w:uiPriority w:val="0"/>
    <w:pPr>
      <w:widowControl/>
      <w:tabs>
        <w:tab w:val="left" w:pos="1134"/>
      </w:tabs>
      <w:spacing w:beforeLines="50" w:afterLines="50"/>
      <w:ind w:firstLine="480"/>
      <w:jc w:val="left"/>
    </w:pPr>
    <w:rPr>
      <w:rFonts w:ascii="方正细黑一简体" w:hAnsi="方正细黑一简体" w:eastAsia="方正细黑一简体"/>
      <w:kern w:val="0"/>
    </w:rPr>
  </w:style>
  <w:style w:type="character" w:customStyle="1" w:styleId="45">
    <w:name w:val="GW-正文 Char Char"/>
    <w:link w:val="44"/>
    <w:qFormat/>
    <w:uiPriority w:val="0"/>
    <w:rPr>
      <w:rFonts w:ascii="方正细黑一简体" w:hAnsi="方正细黑一简体" w:eastAsia="方正细黑一简体"/>
      <w:kern w:val="0"/>
      <w:sz w:val="24"/>
      <w:szCs w:val="24"/>
    </w:rPr>
  </w:style>
  <w:style w:type="paragraph" w:customStyle="1" w:styleId="46">
    <w:name w:val="标题1"/>
    <w:basedOn w:val="3"/>
    <w:link w:val="47"/>
    <w:autoRedefine/>
    <w:semiHidden/>
    <w:qFormat/>
    <w:uiPriority w:val="0"/>
    <w:pPr>
      <w:spacing w:before="140" w:after="140"/>
      <w:ind w:left="100" w:leftChars="100" w:right="100" w:rightChars="100"/>
      <w:jc w:val="left"/>
    </w:pPr>
    <w:rPr>
      <w:rFonts w:ascii="微软雅黑" w:hAnsi="微软雅黑" w:eastAsia="微软雅黑" w:cstheme="majorBidi"/>
    </w:rPr>
  </w:style>
  <w:style w:type="character" w:customStyle="1" w:styleId="47">
    <w:name w:val="标题1 字符"/>
    <w:basedOn w:val="33"/>
    <w:link w:val="46"/>
    <w:semiHidden/>
    <w:qFormat/>
    <w:uiPriority w:val="0"/>
    <w:rPr>
      <w:rFonts w:ascii="微软雅黑" w:hAnsi="微软雅黑" w:eastAsia="微软雅黑" w:cstheme="majorBidi"/>
      <w:snapToGrid w:val="0"/>
      <w:kern w:val="0"/>
      <w:sz w:val="36"/>
      <w:szCs w:val="44"/>
    </w:rPr>
  </w:style>
  <w:style w:type="paragraph" w:customStyle="1" w:styleId="48">
    <w:name w:val="样式1"/>
    <w:basedOn w:val="3"/>
    <w:link w:val="49"/>
    <w:semiHidden/>
    <w:qFormat/>
    <w:uiPriority w:val="0"/>
    <w:rPr>
      <w:rFonts w:ascii="微软雅黑" w:hAnsi="微软雅黑" w:eastAsia="微软雅黑"/>
    </w:rPr>
  </w:style>
  <w:style w:type="character" w:customStyle="1" w:styleId="49">
    <w:name w:val="样式1 字符"/>
    <w:basedOn w:val="42"/>
    <w:link w:val="48"/>
    <w:semiHidden/>
    <w:qFormat/>
    <w:uiPriority w:val="0"/>
    <w:rPr>
      <w:rFonts w:ascii="微软雅黑" w:hAnsi="微软雅黑" w:eastAsia="微软雅黑"/>
      <w:snapToGrid w:val="0"/>
      <w:kern w:val="0"/>
      <w:sz w:val="36"/>
      <w:szCs w:val="44"/>
    </w:rPr>
  </w:style>
  <w:style w:type="character" w:customStyle="1" w:styleId="50">
    <w:name w:val="标题 3 Char"/>
    <w:basedOn w:val="27"/>
    <w:link w:val="5"/>
    <w:qFormat/>
    <w:uiPriority w:val="9"/>
    <w:rPr>
      <w:rFonts w:eastAsia="微软雅黑"/>
      <w:b/>
      <w:bCs/>
      <w:snapToGrid w:val="0"/>
      <w:kern w:val="0"/>
      <w:sz w:val="28"/>
      <w:szCs w:val="32"/>
    </w:rPr>
  </w:style>
  <w:style w:type="character" w:customStyle="1" w:styleId="51">
    <w:name w:val="标题 4 Char"/>
    <w:basedOn w:val="27"/>
    <w:link w:val="6"/>
    <w:qFormat/>
    <w:uiPriority w:val="9"/>
    <w:rPr>
      <w:b/>
      <w:bCs/>
      <w:snapToGrid w:val="0"/>
      <w:kern w:val="0"/>
      <w:sz w:val="36"/>
      <w:szCs w:val="28"/>
    </w:rPr>
  </w:style>
  <w:style w:type="character" w:customStyle="1" w:styleId="52">
    <w:name w:val="页眉 Char"/>
    <w:basedOn w:val="27"/>
    <w:link w:val="17"/>
    <w:semiHidden/>
    <w:qFormat/>
    <w:uiPriority w:val="0"/>
    <w:rPr>
      <w:sz w:val="18"/>
      <w:szCs w:val="18"/>
    </w:rPr>
  </w:style>
  <w:style w:type="character" w:customStyle="1" w:styleId="53">
    <w:name w:val="页脚 Char"/>
    <w:basedOn w:val="27"/>
    <w:link w:val="16"/>
    <w:semiHidden/>
    <w:qFormat/>
    <w:uiPriority w:val="99"/>
    <w:rPr>
      <w:sz w:val="18"/>
      <w:szCs w:val="18"/>
    </w:rPr>
  </w:style>
  <w:style w:type="character" w:customStyle="1" w:styleId="54">
    <w:name w:val="正文文本缩进 Char"/>
    <w:basedOn w:val="27"/>
    <w:link w:val="11"/>
    <w:semiHidden/>
    <w:qFormat/>
    <w:uiPriority w:val="99"/>
    <w:rPr>
      <w:sz w:val="24"/>
      <w:szCs w:val="24"/>
    </w:rPr>
  </w:style>
  <w:style w:type="character" w:customStyle="1" w:styleId="55">
    <w:name w:val="正文首行缩进 2 Char"/>
    <w:basedOn w:val="54"/>
    <w:link w:val="24"/>
    <w:semiHidden/>
    <w:qFormat/>
    <w:uiPriority w:val="0"/>
    <w:rPr>
      <w:sz w:val="21"/>
      <w:szCs w:val="24"/>
    </w:rPr>
  </w:style>
  <w:style w:type="character" w:customStyle="1" w:styleId="56">
    <w:name w:val="批注框文本 Char"/>
    <w:basedOn w:val="27"/>
    <w:link w:val="15"/>
    <w:semiHidden/>
    <w:qFormat/>
    <w:uiPriority w:val="99"/>
    <w:rPr>
      <w:sz w:val="18"/>
      <w:szCs w:val="18"/>
    </w:rPr>
  </w:style>
  <w:style w:type="paragraph" w:styleId="57">
    <w:name w:val="No Spacing"/>
    <w:qFormat/>
    <w:uiPriority w:val="1"/>
    <w:pPr>
      <w:widowControl w:val="0"/>
      <w:spacing w:line="480" w:lineRule="auto"/>
      <w:jc w:val="center"/>
    </w:pPr>
    <w:rPr>
      <w:rFonts w:ascii="Calibri" w:hAnsi="Calibri" w:eastAsia="宋体" w:cs="Times New Roman"/>
      <w:kern w:val="2"/>
      <w:sz w:val="21"/>
      <w:szCs w:val="21"/>
      <w:lang w:val="en-US" w:eastAsia="zh-CN" w:bidi="ar-SA"/>
    </w:rPr>
  </w:style>
  <w:style w:type="paragraph" w:styleId="58">
    <w:name w:val="List Paragraph"/>
    <w:basedOn w:val="1"/>
    <w:link w:val="59"/>
    <w:qFormat/>
    <w:uiPriority w:val="34"/>
    <w:pPr>
      <w:ind w:firstLine="420"/>
      <w:jc w:val="left"/>
    </w:pPr>
    <w:rPr>
      <w:rFonts w:asciiTheme="minorHAnsi" w:hAnsiTheme="minorHAnsi" w:eastAsiaTheme="minorEastAsia" w:cstheme="minorBidi"/>
      <w:szCs w:val="21"/>
    </w:rPr>
  </w:style>
  <w:style w:type="character" w:customStyle="1" w:styleId="59">
    <w:name w:val="列出段落 Char1"/>
    <w:link w:val="58"/>
    <w:qFormat/>
    <w:uiPriority w:val="34"/>
    <w:rPr>
      <w:rFonts w:asciiTheme="minorHAnsi" w:hAnsiTheme="minorHAnsi" w:eastAsiaTheme="minorEastAsia" w:cstheme="minorBidi"/>
      <w:sz w:val="24"/>
      <w:szCs w:val="21"/>
    </w:rPr>
  </w:style>
  <w:style w:type="paragraph" w:customStyle="1" w:styleId="60">
    <w:name w:val="_Style 1"/>
    <w:basedOn w:val="1"/>
    <w:qFormat/>
    <w:uiPriority w:val="34"/>
    <w:pPr>
      <w:ind w:firstLine="420"/>
    </w:pPr>
  </w:style>
  <w:style w:type="paragraph" w:customStyle="1" w:styleId="61">
    <w:name w:val="列表段落1"/>
    <w:basedOn w:val="1"/>
    <w:qFormat/>
    <w:uiPriority w:val="0"/>
    <w:pPr>
      <w:ind w:firstLine="420"/>
    </w:pPr>
    <w:rPr>
      <w:sz w:val="24"/>
    </w:rPr>
  </w:style>
  <w:style w:type="paragraph" w:customStyle="1" w:styleId="62">
    <w:name w:val="TOC Heading"/>
    <w:basedOn w:val="3"/>
    <w:next w:val="1"/>
    <w:unhideWhenUsed/>
    <w:qFormat/>
    <w:uiPriority w:val="39"/>
    <w:pPr>
      <w:widowControl/>
      <w:numPr>
        <w:numId w:val="0"/>
      </w:numPr>
      <w:adjustRightInd/>
      <w:snapToGrid/>
      <w:spacing w:before="240" w:after="0" w:line="259" w:lineRule="auto"/>
      <w:jc w:val="left"/>
      <w:outlineLvl w:val="9"/>
    </w:pPr>
    <w:rPr>
      <w:rFonts w:asciiTheme="majorHAnsi" w:hAnsiTheme="majorHAnsi" w:eastAsiaTheme="majorEastAsia" w:cstheme="majorBidi"/>
      <w:b w:val="0"/>
      <w:bCs w:val="0"/>
      <w:snapToGrid/>
      <w:color w:val="2F5597" w:themeColor="accent1" w:themeShade="BF"/>
      <w:sz w:val="32"/>
      <w:szCs w:val="32"/>
    </w:rPr>
  </w:style>
  <w:style w:type="character" w:customStyle="1" w:styleId="63">
    <w:name w:val="正文文本 3 Char"/>
    <w:basedOn w:val="27"/>
    <w:link w:val="10"/>
    <w:semiHidden/>
    <w:qFormat/>
    <w:uiPriority w:val="0"/>
    <w:rPr>
      <w:sz w:val="16"/>
      <w:szCs w:val="16"/>
    </w:rPr>
  </w:style>
  <w:style w:type="paragraph" w:customStyle="1" w:styleId="64">
    <w:name w:val="样式 宋体 小四 行距: 1.5 倍行距"/>
    <w:basedOn w:val="1"/>
    <w:qFormat/>
    <w:uiPriority w:val="0"/>
    <w:pPr>
      <w:spacing w:line="240" w:lineRule="auto"/>
    </w:pPr>
    <w:rPr>
      <w:rFonts w:ascii="宋体" w:hAnsi="宋体" w:cs="宋体"/>
      <w:sz w:val="24"/>
      <w:szCs w:val="20"/>
    </w:rPr>
  </w:style>
  <w:style w:type="paragraph" w:customStyle="1" w:styleId="65">
    <w:name w:val="首行缩进"/>
    <w:basedOn w:val="1"/>
    <w:qFormat/>
    <w:uiPriority w:val="0"/>
    <w:pPr>
      <w:ind w:firstLine="480"/>
    </w:pPr>
    <w:rPr>
      <w:rFonts w:ascii="Calibri" w:hAnsi="Calibri" w:eastAsiaTheme="minorEastAsia"/>
      <w:sz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8CE1-963B-4ACE-80D6-8197C2691520}">
  <ds:schemaRefs/>
</ds:datastoreItem>
</file>

<file path=docProps/app.xml><?xml version="1.0" encoding="utf-8"?>
<Properties xmlns="http://schemas.openxmlformats.org/officeDocument/2006/extended-properties" xmlns:vt="http://schemas.openxmlformats.org/officeDocument/2006/docPropsVTypes">
  <Template>Normal</Template>
  <Pages>4</Pages>
  <Words>1218</Words>
  <Characters>1285</Characters>
  <Lines>172</Lines>
  <Paragraphs>48</Paragraphs>
  <TotalTime>11</TotalTime>
  <ScaleCrop>false</ScaleCrop>
  <LinksUpToDate>false</LinksUpToDate>
  <CharactersWithSpaces>1296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2020-02-25T02:29:00Z</dcterms:created>
  <dc:creator>YIN</dc:creator>
  <cp:lastModifiedBy>黄蓉</cp:lastModifiedBy>
  <dcterms:modified xsi:type="dcterms:W3CDTF">2025-10-20T06:26:17Z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eyJoZGlkIjoiZjAxY2MyZmFkOTA5Mjg1N2I0NmNiYmRiNWNmYjVmMzIiLCJ1c2VySWQiOiI0MzQ2NDA3NDYifQ==</vt:lpwstr>
  </property>
  <property fmtid="{D5CDD505-2E9C-101B-9397-08002B2CF9AE}" pid="3" name="KSOProductBuildVer">
    <vt:lpwstr>2052-12.1.0.22529</vt:lpwstr>
  </property>
  <property fmtid="{D5CDD505-2E9C-101B-9397-08002B2CF9AE}" pid="4" name="ICV">
    <vt:lpwstr>AE81D7C11F744012B5D926B39076D0F5_13</vt:lpwstr>
  </property>
</Properties>
</file>