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574CC">
      <w:pPr>
        <w:pStyle w:val="2"/>
        <w:numPr>
          <w:ilvl w:val="1"/>
          <w:numId w:val="0"/>
        </w:numPr>
        <w:ind w:leftChars="0"/>
        <w:jc w:val="center"/>
        <w:rPr>
          <w:rFonts w:hint="eastAsia" w:eastAsia="仿宋"/>
          <w:sz w:val="32"/>
          <w:szCs w:val="32"/>
          <w:lang w:val="en-US" w:eastAsia="zh-CN"/>
        </w:rPr>
      </w:pPr>
      <w:bookmarkStart w:id="0" w:name="_Toc167116453"/>
      <w:r>
        <w:rPr>
          <w:rFonts w:hint="eastAsia"/>
          <w:sz w:val="32"/>
          <w:szCs w:val="32"/>
        </w:rPr>
        <w:t>重要时期安全运营服务</w:t>
      </w:r>
      <w:r>
        <w:rPr>
          <w:rFonts w:hint="eastAsia"/>
          <w:sz w:val="32"/>
          <w:szCs w:val="32"/>
          <w:lang w:val="en-US" w:eastAsia="zh-CN"/>
        </w:rPr>
        <w:t>需求</w:t>
      </w:r>
      <w:bookmarkStart w:id="12" w:name="_GoBack"/>
      <w:bookmarkEnd w:id="12"/>
    </w:p>
    <w:p w14:paraId="635D699F">
      <w:pPr>
        <w:pStyle w:val="2"/>
        <w:numPr>
          <w:ilvl w:val="1"/>
          <w:numId w:val="0"/>
        </w:numPr>
        <w:ind w:leftChars="0"/>
      </w:pPr>
      <w:r>
        <w:rPr>
          <w:rFonts w:hint="eastAsia"/>
          <w:lang w:val="en-US" w:eastAsia="zh-CN"/>
        </w:rPr>
        <w:t>1、</w:t>
      </w:r>
      <w:r>
        <w:rPr>
          <w:rFonts w:hint="eastAsia"/>
        </w:rPr>
        <w:t>安全工作内容</w:t>
      </w:r>
      <w:bookmarkEnd w:id="0"/>
    </w:p>
    <w:p w14:paraId="72E82494">
      <w:pPr>
        <w:spacing w:line="360" w:lineRule="auto"/>
        <w:ind w:firstLine="560" w:firstLineChars="200"/>
        <w:jc w:val="left"/>
        <w:rPr>
          <w:rFonts w:hint="eastAsia" w:ascii="仿宋" w:hAnsi="仿宋" w:eastAsia="仿宋"/>
          <w:sz w:val="28"/>
          <w:szCs w:val="28"/>
          <w:lang w:eastAsia="zh-CN"/>
        </w:rPr>
      </w:pPr>
      <w:r>
        <w:rPr>
          <w:rFonts w:hint="eastAsia" w:ascii="仿宋" w:hAnsi="仿宋" w:eastAsia="仿宋"/>
          <w:sz w:val="28"/>
          <w:szCs w:val="28"/>
        </w:rPr>
        <w:t>我院在</w:t>
      </w:r>
      <w:r>
        <w:rPr>
          <w:rFonts w:hint="eastAsia" w:ascii="仿宋" w:hAnsi="仿宋" w:eastAsia="仿宋"/>
          <w:sz w:val="28"/>
          <w:szCs w:val="28"/>
          <w:lang w:val="en-US" w:eastAsia="zh-CN"/>
        </w:rPr>
        <w:t>信息系统</w:t>
      </w:r>
      <w:r>
        <w:rPr>
          <w:rFonts w:hint="eastAsia" w:ascii="仿宋" w:hAnsi="仿宋" w:eastAsia="仿宋"/>
          <w:sz w:val="28"/>
          <w:szCs w:val="28"/>
        </w:rPr>
        <w:t>全运营工作中，将引入专业安全服务厂商提供专业安全技术能力，配合我院信息部安全运营工作开展。具体工作内容如下</w:t>
      </w:r>
      <w:r>
        <w:rPr>
          <w:rFonts w:hint="eastAsia" w:ascii="仿宋" w:hAnsi="仿宋" w:eastAsia="仿宋"/>
          <w:sz w:val="28"/>
          <w:szCs w:val="28"/>
          <w:lang w:eastAsia="zh-CN"/>
        </w:rPr>
        <w:t>：</w:t>
      </w:r>
    </w:p>
    <w:p w14:paraId="77D9926A">
      <w:pPr>
        <w:pStyle w:val="3"/>
        <w:numPr>
          <w:ilvl w:val="2"/>
          <w:numId w:val="0"/>
        </w:numPr>
        <w:ind w:leftChars="0"/>
        <w:rPr>
          <w:rFonts w:ascii="仿宋" w:hAnsi="仿宋" w:eastAsia="仿宋"/>
        </w:rPr>
      </w:pPr>
      <w:bookmarkStart w:id="1" w:name="_Toc167116454"/>
      <w:r>
        <w:rPr>
          <w:rFonts w:hint="eastAsia" w:ascii="仿宋" w:hAnsi="仿宋" w:eastAsia="仿宋"/>
          <w:lang w:val="en-US" w:eastAsia="zh-CN"/>
        </w:rPr>
        <w:t>2、</w:t>
      </w:r>
      <w:r>
        <w:rPr>
          <w:rFonts w:hint="eastAsia" w:ascii="仿宋" w:hAnsi="仿宋" w:eastAsia="仿宋"/>
        </w:rPr>
        <w:t>重要时期保护工作</w:t>
      </w:r>
      <w:bookmarkEnd w:id="1"/>
    </w:p>
    <w:p w14:paraId="03B88851">
      <w:pPr>
        <w:spacing w:line="360" w:lineRule="auto"/>
        <w:ind w:firstLine="560" w:firstLineChars="200"/>
        <w:jc w:val="left"/>
        <w:rPr>
          <w:rFonts w:ascii="仿宋" w:hAnsi="仿宋" w:eastAsia="仿宋"/>
          <w:sz w:val="28"/>
          <w:szCs w:val="24"/>
        </w:rPr>
      </w:pPr>
      <w:r>
        <w:rPr>
          <w:rFonts w:hint="eastAsia" w:ascii="仿宋" w:hAnsi="仿宋" w:eastAsia="仿宋"/>
          <w:sz w:val="28"/>
          <w:szCs w:val="28"/>
        </w:rPr>
        <w:t>针对“两会”、“国庆”、“春节”</w:t>
      </w:r>
      <w:r>
        <w:rPr>
          <w:rFonts w:ascii="仿宋" w:hAnsi="仿宋" w:eastAsia="仿宋"/>
          <w:sz w:val="28"/>
          <w:szCs w:val="28"/>
        </w:rPr>
        <w:t>、“护网行动”等重大活动期间</w:t>
      </w:r>
      <w:r>
        <w:rPr>
          <w:rFonts w:hint="eastAsia" w:ascii="仿宋" w:hAnsi="仿宋" w:eastAsia="仿宋"/>
          <w:sz w:val="28"/>
          <w:szCs w:val="28"/>
        </w:rPr>
        <w:t>安全。分别在重保前进行全面风险评估，排查安全隐患、重保中进行安全监测与事件处置响应，积极防御网络安全攻击，重保后完成安全事件分析分析、安全策略调优等工作。</w:t>
      </w:r>
      <w:r>
        <w:rPr>
          <w:rFonts w:hint="eastAsia" w:ascii="仿宋" w:hAnsi="仿宋" w:eastAsia="仿宋"/>
          <w:sz w:val="28"/>
          <w:szCs w:val="24"/>
        </w:rPr>
        <w:t>全面深入排查我院安全隐患，发现可能存在的安全风险以及安全防御体系可能存在的薄弱环节，并修复，确保重保从筹备到执行期间的关键信息系统和数据资产安全。</w:t>
      </w:r>
    </w:p>
    <w:p w14:paraId="2B77C94C">
      <w:pPr>
        <w:pStyle w:val="3"/>
        <w:numPr>
          <w:ilvl w:val="2"/>
          <w:numId w:val="0"/>
        </w:numPr>
        <w:ind w:leftChars="0"/>
        <w:rPr>
          <w:rFonts w:ascii="仿宋" w:hAnsi="仿宋" w:eastAsia="仿宋"/>
        </w:rPr>
      </w:pPr>
      <w:bookmarkStart w:id="2" w:name="_Toc167116455"/>
      <w:r>
        <w:rPr>
          <w:rFonts w:hint="eastAsia" w:ascii="仿宋" w:hAnsi="仿宋" w:eastAsia="仿宋"/>
          <w:lang w:val="en-US" w:eastAsia="zh-CN"/>
        </w:rPr>
        <w:t>3、</w:t>
      </w:r>
      <w:r>
        <w:rPr>
          <w:rFonts w:hint="eastAsia" w:ascii="仿宋" w:hAnsi="仿宋" w:eastAsia="仿宋"/>
        </w:rPr>
        <w:t>入网安全评估工作</w:t>
      </w:r>
      <w:bookmarkEnd w:id="2"/>
    </w:p>
    <w:p w14:paraId="6B027386">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在我院新业务系统入网前将安全评估应与安全管理工作紧密结合，在确保业务系统安全的基础上，保障业务系统上线后对整体网络的安全。通过开展入网安全评估工作，有效的发现</w:t>
      </w:r>
      <w:r>
        <w:rPr>
          <w:rFonts w:ascii="仿宋" w:hAnsi="仿宋" w:eastAsia="仿宋"/>
          <w:sz w:val="28"/>
          <w:szCs w:val="24"/>
        </w:rPr>
        <w:t>sql注入、XSS、信息泄露、业务逻辑等安全隐患，并完成整改。以此将风险关口前移，确保新业务的安全上线，防止“带病”入网。评估内容包括</w:t>
      </w:r>
      <w:r>
        <w:rPr>
          <w:rFonts w:hint="eastAsia" w:ascii="仿宋" w:hAnsi="仿宋" w:eastAsia="仿宋"/>
          <w:sz w:val="28"/>
          <w:szCs w:val="24"/>
        </w:rPr>
        <w:t>但不限于</w:t>
      </w:r>
      <w:r>
        <w:rPr>
          <w:rFonts w:ascii="仿宋" w:hAnsi="仿宋" w:eastAsia="仿宋"/>
          <w:sz w:val="28"/>
          <w:szCs w:val="24"/>
        </w:rPr>
        <w:t>：检查网络结构和安全域划及访问控制是否合理；梳理进程、端口服务开放情况；检查网络设备、主机、数据库、应用层配置是否符合安全规范，是否存在安全漏洞等。</w:t>
      </w:r>
    </w:p>
    <w:p w14:paraId="18580726">
      <w:pPr>
        <w:pStyle w:val="3"/>
        <w:numPr>
          <w:ilvl w:val="2"/>
          <w:numId w:val="0"/>
        </w:numPr>
        <w:ind w:leftChars="0"/>
        <w:rPr>
          <w:rFonts w:ascii="仿宋" w:hAnsi="仿宋" w:eastAsia="仿宋"/>
        </w:rPr>
      </w:pPr>
      <w:bookmarkStart w:id="3" w:name="_Toc167116456"/>
      <w:r>
        <w:rPr>
          <w:rFonts w:hint="eastAsia" w:ascii="仿宋" w:hAnsi="仿宋" w:eastAsia="仿宋"/>
          <w:lang w:val="en-US" w:eastAsia="zh-CN"/>
        </w:rPr>
        <w:t>4、</w:t>
      </w:r>
      <w:r>
        <w:rPr>
          <w:rFonts w:hint="eastAsia" w:ascii="仿宋" w:hAnsi="仿宋" w:eastAsia="仿宋"/>
        </w:rPr>
        <w:t>驻场技术支持工作</w:t>
      </w:r>
      <w:bookmarkEnd w:id="3"/>
    </w:p>
    <w:p w14:paraId="23B30F6E">
      <w:pPr>
        <w:spacing w:line="360" w:lineRule="auto"/>
        <w:ind w:firstLine="560" w:firstLineChars="200"/>
        <w:jc w:val="left"/>
        <w:rPr>
          <w:rFonts w:ascii="仿宋" w:hAnsi="仿宋" w:eastAsia="仿宋"/>
          <w:sz w:val="28"/>
          <w:szCs w:val="24"/>
          <w:lang w:val="zh-CN"/>
        </w:rPr>
      </w:pPr>
      <w:r>
        <w:rPr>
          <w:rFonts w:hint="eastAsia" w:ascii="仿宋" w:hAnsi="仿宋" w:eastAsia="仿宋"/>
          <w:sz w:val="28"/>
          <w:szCs w:val="24"/>
          <w:lang w:val="zh-CN"/>
        </w:rPr>
        <w:t>我院当前已采购并上线完备的安全设备，但受限于我院安全专业人员数量与安全专业能力薄弱的原因，在安全设备的日常使用中，缺乏专业技术人员对安全设备运行情况，安全设备告警、安全设备日志等进行周期性监测，安全设备使用效率较低。对此，在安全工作中，引入专业安全服务厂商提供安全技术人员开展驻场技术支持工作，周期性对安全设备进行监测并及时响应技术需求。从而补足我院当前安全设备使用效率较低，安全专业能力薄弱的现状。</w:t>
      </w:r>
    </w:p>
    <w:p w14:paraId="0E703F25">
      <w:pPr>
        <w:pStyle w:val="3"/>
        <w:numPr>
          <w:ilvl w:val="2"/>
          <w:numId w:val="0"/>
        </w:numPr>
        <w:ind w:leftChars="0"/>
        <w:rPr>
          <w:rFonts w:ascii="仿宋" w:hAnsi="仿宋" w:eastAsia="仿宋"/>
        </w:rPr>
      </w:pPr>
      <w:bookmarkStart w:id="4" w:name="_Toc167116457"/>
      <w:r>
        <w:rPr>
          <w:rFonts w:hint="eastAsia" w:ascii="仿宋" w:hAnsi="仿宋" w:eastAsia="仿宋"/>
          <w:lang w:val="en-US" w:eastAsia="zh-CN"/>
        </w:rPr>
        <w:t>5、</w:t>
      </w:r>
      <w:r>
        <w:rPr>
          <w:rFonts w:hint="eastAsia" w:ascii="仿宋" w:hAnsi="仿宋" w:eastAsia="仿宋"/>
        </w:rPr>
        <w:t>基线核查工作</w:t>
      </w:r>
      <w:bookmarkEnd w:id="4"/>
    </w:p>
    <w:p w14:paraId="2A041E76">
      <w:pPr>
        <w:spacing w:line="360" w:lineRule="auto"/>
        <w:ind w:firstLine="560" w:firstLineChars="200"/>
        <w:jc w:val="left"/>
        <w:rPr>
          <w:rFonts w:ascii="仿宋" w:hAnsi="仿宋" w:eastAsia="仿宋"/>
          <w:sz w:val="28"/>
          <w:szCs w:val="24"/>
          <w:lang w:val="zh-CN"/>
        </w:rPr>
      </w:pPr>
      <w:r>
        <w:rPr>
          <w:rFonts w:hint="eastAsia" w:ascii="仿宋" w:hAnsi="仿宋" w:eastAsia="仿宋"/>
          <w:sz w:val="28"/>
          <w:szCs w:val="24"/>
        </w:rPr>
        <w:t>基线核查工作是一项全面审查系统、网络或应用的过程，以确认其安全配置是否符合特定标准或最佳实践。主要包括对操作系统、数据库、中间件、网络设备等进行设置的检查，以确保其符合预先设定的安全基线，从而降低系统遭受攻击的风险。</w:t>
      </w:r>
      <w:r>
        <w:rPr>
          <w:rFonts w:hint="eastAsia" w:ascii="仿宋" w:hAnsi="仿宋" w:eastAsia="仿宋"/>
          <w:sz w:val="28"/>
          <w:szCs w:val="24"/>
          <w:lang w:val="zh-CN"/>
        </w:rPr>
        <w:t>基线核查内容普遍集中于设备的账号管理和口令策略、认证授权、日志配置、通信协议等方面，覆盖了与安全问题相关的各个层面。</w:t>
      </w:r>
    </w:p>
    <w:p w14:paraId="2CEE837E">
      <w:pPr>
        <w:spacing w:line="360" w:lineRule="auto"/>
        <w:ind w:firstLine="560" w:firstLineChars="200"/>
        <w:jc w:val="left"/>
        <w:rPr>
          <w:rFonts w:ascii="仿宋" w:hAnsi="仿宋" w:eastAsia="仿宋"/>
          <w:sz w:val="28"/>
          <w:szCs w:val="24"/>
        </w:rPr>
      </w:pPr>
      <w:r>
        <w:rPr>
          <w:rFonts w:hint="eastAsia" w:ascii="仿宋" w:hAnsi="仿宋" w:eastAsia="仿宋"/>
          <w:sz w:val="28"/>
          <w:szCs w:val="24"/>
          <w:lang w:val="zh-CN"/>
        </w:rPr>
        <w:t>从安全事件与系统稳定的角度出发，通过定期的基线核查工作能够降低我院系统被篡改或瘫痪的风险，同时及时发现和修复潜在的漏洞。从守法合规的角度出发，基线核查工作则能够</w:t>
      </w:r>
      <w:r>
        <w:rPr>
          <w:rFonts w:hint="eastAsia" w:ascii="仿宋" w:hAnsi="仿宋" w:eastAsia="仿宋"/>
          <w:sz w:val="28"/>
          <w:szCs w:val="24"/>
        </w:rPr>
        <w:t>确保系统符合相关法规和标准，降低了违规可能带来的法律责任和业务风险。</w:t>
      </w:r>
    </w:p>
    <w:p w14:paraId="711FC613">
      <w:pPr>
        <w:pStyle w:val="3"/>
        <w:numPr>
          <w:ilvl w:val="2"/>
          <w:numId w:val="0"/>
        </w:numPr>
        <w:ind w:leftChars="0"/>
        <w:rPr>
          <w:rFonts w:ascii="仿宋" w:hAnsi="仿宋" w:eastAsia="仿宋"/>
        </w:rPr>
      </w:pPr>
      <w:bookmarkStart w:id="5" w:name="_Toc167116458"/>
      <w:r>
        <w:rPr>
          <w:rFonts w:hint="eastAsia" w:ascii="仿宋" w:hAnsi="仿宋" w:eastAsia="仿宋"/>
          <w:lang w:val="en-US" w:eastAsia="zh-CN"/>
        </w:rPr>
        <w:t>6、</w:t>
      </w:r>
      <w:r>
        <w:rPr>
          <w:rFonts w:hint="eastAsia" w:ascii="仿宋" w:hAnsi="仿宋" w:eastAsia="仿宋"/>
        </w:rPr>
        <w:t>风险评估工作</w:t>
      </w:r>
      <w:bookmarkEnd w:id="5"/>
    </w:p>
    <w:p w14:paraId="5F2DF00C">
      <w:pPr>
        <w:pStyle w:val="4"/>
        <w:widowControl w:val="0"/>
        <w:spacing w:before="0" w:beforeAutospacing="0" w:after="0" w:afterAutospacing="0" w:line="360" w:lineRule="auto"/>
        <w:ind w:firstLine="560" w:firstLineChars="200"/>
        <w:rPr>
          <w:rFonts w:ascii="仿宋" w:hAnsi="仿宋" w:eastAsia="仿宋"/>
          <w:sz w:val="28"/>
          <w:szCs w:val="28"/>
        </w:rPr>
      </w:pPr>
      <w:r>
        <w:rPr>
          <w:rFonts w:hint="eastAsia" w:ascii="仿宋" w:hAnsi="仿宋" w:eastAsia="仿宋"/>
          <w:sz w:val="28"/>
          <w:szCs w:val="28"/>
        </w:rPr>
        <w:t>网络安全脆弱性并不是单纯的是一个硬件或系统漏洞，或是某块安全制度缺失。通常情况下安全事件的发生都是由一系列逻辑联系不强的微小事件逐步扩大。从网络安全事件发生的原因分析，主要集中于以下两点：1、单位未对单位整体安全生态系统的健康状况进行全面评估，无法对单位整体网络风险形成具象、可视化认知。2、在信息化建设中不完整或非集成的解决方案会让单位出现多种特性或功能叠加的产品出现，造成一个脱节或重复的安全防御网络，这种具有不兼容的安全解决方案为基础设施留下漏洞，从而被攻击者利用。</w:t>
      </w:r>
    </w:p>
    <w:p w14:paraId="54C6A4A1">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我院作为医疗卫生机构，在信息化建设过程中所面临的网络安全风险逐步扩大，因此开展</w:t>
      </w:r>
      <w:r>
        <w:rPr>
          <w:rStyle w:val="8"/>
          <w:rFonts w:hint="eastAsia" w:ascii="仿宋" w:hAnsi="仿宋" w:eastAsia="仿宋"/>
          <w:sz w:val="28"/>
          <w:szCs w:val="24"/>
        </w:rPr>
        <w:t>网络安全风险评估变得尤为重要。</w:t>
      </w:r>
      <w:r>
        <w:rPr>
          <w:rFonts w:hint="eastAsia" w:ascii="仿宋" w:hAnsi="仿宋" w:eastAsia="仿宋"/>
          <w:sz w:val="28"/>
          <w:szCs w:val="24"/>
        </w:rPr>
        <w:t>按照国家相关风险评估标准，结合我院当前网络安全现状，对信息系统涉及的信息化资产开展全面风险评估。有效发现各信息系统潜在的安全风险，降低因系统漏洞、配置错误、黑客攻击、病毒传播、系统故障等问题对业务产生的影响，保障业务系统的安全、稳定运行。</w:t>
      </w:r>
    </w:p>
    <w:p w14:paraId="2104D7B2">
      <w:pPr>
        <w:pStyle w:val="3"/>
        <w:numPr>
          <w:ilvl w:val="2"/>
          <w:numId w:val="0"/>
        </w:numPr>
        <w:ind w:leftChars="0"/>
        <w:rPr>
          <w:rFonts w:ascii="仿宋" w:hAnsi="仿宋" w:eastAsia="仿宋"/>
        </w:rPr>
      </w:pPr>
      <w:bookmarkStart w:id="6" w:name="_Toc167116459"/>
      <w:r>
        <w:rPr>
          <w:rFonts w:hint="eastAsia" w:ascii="仿宋" w:hAnsi="仿宋" w:eastAsia="仿宋"/>
          <w:lang w:val="en-US" w:eastAsia="zh-CN"/>
        </w:rPr>
        <w:t>7、</w:t>
      </w:r>
      <w:r>
        <w:rPr>
          <w:rFonts w:hint="eastAsia" w:ascii="仿宋" w:hAnsi="仿宋" w:eastAsia="仿宋"/>
        </w:rPr>
        <w:t>网络安全应急响应工作</w:t>
      </w:r>
      <w:bookmarkEnd w:id="6"/>
    </w:p>
    <w:p w14:paraId="4D2CF8C3">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我院作为关键基础设施单位，不论从合规或是业务安全角度出发，都需开展网络安全应急响应工作，应急响应工作包括应急演练与安事件应急响应两部分。</w:t>
      </w:r>
    </w:p>
    <w:p w14:paraId="4214A91A">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（1）应急演练</w:t>
      </w:r>
    </w:p>
    <w:p w14:paraId="6B133A8E">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通过模拟真实的网络安全事件开展应急演练工作。真实的呈现我院网络安全事件处置能力，检验应急响应中各部门范围的协同反应水平与实战能力。同时评估我院应急响应预案的实用性、可行性、有效性。</w:t>
      </w:r>
    </w:p>
    <w:p w14:paraId="3A7578FB">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（2）应急响应</w:t>
      </w:r>
    </w:p>
    <w:p w14:paraId="05AFC663">
      <w:pPr>
        <w:spacing w:line="360" w:lineRule="auto"/>
        <w:ind w:firstLine="560" w:firstLineChars="200"/>
        <w:jc w:val="left"/>
        <w:rPr>
          <w:rFonts w:ascii="仿宋" w:hAnsi="仿宋" w:eastAsia="仿宋"/>
          <w:sz w:val="28"/>
          <w:szCs w:val="36"/>
        </w:rPr>
      </w:pPr>
      <w:r>
        <w:rPr>
          <w:rFonts w:hint="eastAsia" w:ascii="仿宋" w:hAnsi="仿宋" w:eastAsia="仿宋"/>
          <w:sz w:val="28"/>
          <w:szCs w:val="24"/>
        </w:rPr>
        <w:t>针对我院当前无法</w:t>
      </w:r>
      <w:r>
        <w:rPr>
          <w:rFonts w:hint="eastAsia" w:ascii="仿宋" w:hAnsi="仿宋" w:eastAsia="仿宋"/>
          <w:sz w:val="28"/>
          <w:szCs w:val="36"/>
        </w:rPr>
        <w:t>无法迅速解决的网络入侵、拒绝服务攻击、大规模病毒爆发、主机或网络异常事件等紧急安全问题</w:t>
      </w:r>
      <w:r>
        <w:rPr>
          <w:rFonts w:hint="eastAsia" w:ascii="仿宋" w:hAnsi="仿宋" w:eastAsia="仿宋"/>
          <w:sz w:val="28"/>
          <w:szCs w:val="24"/>
        </w:rPr>
        <w:t>引入专业安全服务厂商提供应急响应能力，</w:t>
      </w:r>
      <w:r>
        <w:rPr>
          <w:rFonts w:hint="eastAsia" w:ascii="仿宋" w:hAnsi="仿宋" w:eastAsia="仿宋"/>
          <w:sz w:val="28"/>
          <w:szCs w:val="36"/>
        </w:rPr>
        <w:t>提供安全技术支持。在网络安全事件发生时及时控制事态发展，保护或恢复主机、网络服务的正常工作；在安全事件后进行分析，找出系统的安全漏洞，并根据现场保留情况尽可能对入侵者进行追查。</w:t>
      </w:r>
    </w:p>
    <w:p w14:paraId="3D42A95D">
      <w:pPr>
        <w:pStyle w:val="3"/>
        <w:numPr>
          <w:ilvl w:val="2"/>
          <w:numId w:val="0"/>
        </w:numPr>
        <w:ind w:leftChars="0"/>
        <w:rPr>
          <w:rFonts w:ascii="仿宋" w:hAnsi="仿宋" w:eastAsia="仿宋"/>
        </w:rPr>
      </w:pPr>
      <w:bookmarkStart w:id="7" w:name="_Toc167116460"/>
      <w:r>
        <w:rPr>
          <w:rFonts w:hint="eastAsia" w:ascii="仿宋" w:hAnsi="仿宋" w:eastAsia="仿宋"/>
          <w:lang w:val="en-US" w:eastAsia="zh-CN"/>
        </w:rPr>
        <w:t>8、</w:t>
      </w:r>
      <w:r>
        <w:rPr>
          <w:rFonts w:hint="eastAsia" w:ascii="仿宋" w:hAnsi="仿宋" w:eastAsia="仿宋"/>
        </w:rPr>
        <w:t>漏洞扫描工作</w:t>
      </w:r>
      <w:bookmarkEnd w:id="7"/>
    </w:p>
    <w:p w14:paraId="026879A5">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我院在以往建设中引入有专业漏洞扫描工具，但受限于人员配置与安全专业能力原因。在过往安全运营工作中并未定期开展漏洞扫描工作。因此在安全运营工作中，引入专业安全服务厂商，通过人工+工具的形式定期对我院的服务器、网络设备、中间件等进行全面的漏洞扫描，从内网和外网不同的角度找出当前网络结构、网络设备、服务器主机等目标存在的安全漏洞。同时针对发现漏洞形成跟踪台账与整改解决方案，对漏洞进行全生命周期管理。</w:t>
      </w:r>
    </w:p>
    <w:p w14:paraId="40951D2A">
      <w:pPr>
        <w:pStyle w:val="3"/>
        <w:numPr>
          <w:ilvl w:val="2"/>
          <w:numId w:val="0"/>
        </w:numPr>
        <w:ind w:leftChars="0"/>
        <w:rPr>
          <w:rFonts w:ascii="仿宋" w:hAnsi="仿宋" w:eastAsia="仿宋"/>
        </w:rPr>
      </w:pPr>
      <w:bookmarkStart w:id="8" w:name="_Toc167116461"/>
      <w:r>
        <w:rPr>
          <w:rFonts w:hint="eastAsia" w:ascii="仿宋" w:hAnsi="仿宋" w:eastAsia="仿宋"/>
          <w:lang w:val="en-US" w:eastAsia="zh-CN"/>
        </w:rPr>
        <w:t>9、</w:t>
      </w:r>
      <w:r>
        <w:rPr>
          <w:rFonts w:hint="eastAsia" w:ascii="仿宋" w:hAnsi="仿宋" w:eastAsia="仿宋"/>
        </w:rPr>
        <w:t>重要系统内渗透测试工作</w:t>
      </w:r>
      <w:bookmarkEnd w:id="8"/>
    </w:p>
    <w:p w14:paraId="221BABEE">
      <w:pPr>
        <w:spacing w:line="360" w:lineRule="auto"/>
        <w:ind w:firstLine="560" w:firstLineChars="200"/>
        <w:jc w:val="left"/>
        <w:rPr>
          <w:rFonts w:ascii="仿宋" w:hAnsi="仿宋" w:eastAsia="仿宋" w:cs="宋体"/>
          <w:sz w:val="28"/>
          <w:szCs w:val="24"/>
        </w:rPr>
      </w:pPr>
      <w:r>
        <w:rPr>
          <w:rFonts w:hint="eastAsia" w:ascii="仿宋" w:hAnsi="仿宋" w:eastAsia="仿宋" w:cs="宋体"/>
          <w:sz w:val="28"/>
          <w:szCs w:val="24"/>
        </w:rPr>
        <w:t>渗透测试不同于漏洞扫描，而且在实施方式和方向上与其有着很大的区别。漏洞扫描是在已知系统上，对已知的弱点进行排查。而渗透测试往往是“黑盒测试”，渗透测试工程师模拟黑客行为，不但要在未知系统中发现弱点，而且还要验证弱点，甚至还会挖掘出一些未知的弱点。</w:t>
      </w:r>
    </w:p>
    <w:p w14:paraId="608859C3">
      <w:pPr>
        <w:spacing w:line="360" w:lineRule="auto"/>
        <w:ind w:firstLine="560" w:firstLineChars="200"/>
        <w:jc w:val="left"/>
        <w:rPr>
          <w:rFonts w:ascii="仿宋" w:hAnsi="仿宋" w:eastAsia="仿宋" w:cs="宋体"/>
          <w:sz w:val="28"/>
          <w:szCs w:val="24"/>
        </w:rPr>
      </w:pPr>
      <w:r>
        <w:rPr>
          <w:rFonts w:hint="eastAsia" w:ascii="仿宋" w:hAnsi="仿宋" w:eastAsia="仿宋" w:cs="宋体"/>
          <w:sz w:val="28"/>
          <w:szCs w:val="24"/>
        </w:rPr>
        <w:t>因此我院在漏洞扫描基础上，还需引入安全服务厂商对重要系统开展渗透测试工作。由专业的渗透测试工程师模拟黑客的行为模式，采用黑客的漏洞发现和利用技术，技术尽可能多的攻击方式发现入侵信息系统的潜在可能途径，分析系统可能存在的安全隐患。同时提供对发现漏洞的详细描述与验证过程记录，并根据我院需求完成重大漏洞的整改与复测。</w:t>
      </w:r>
    </w:p>
    <w:p w14:paraId="61C0813B">
      <w:pPr>
        <w:pStyle w:val="3"/>
        <w:numPr>
          <w:ilvl w:val="2"/>
          <w:numId w:val="0"/>
        </w:numPr>
        <w:ind w:leftChars="0"/>
        <w:rPr>
          <w:rFonts w:ascii="仿宋" w:hAnsi="仿宋" w:eastAsia="仿宋" w:cs="宋体"/>
          <w:szCs w:val="24"/>
        </w:rPr>
      </w:pPr>
      <w:bookmarkStart w:id="9" w:name="_Toc167116462"/>
      <w:r>
        <w:rPr>
          <w:rFonts w:hint="eastAsia" w:ascii="仿宋" w:hAnsi="仿宋" w:eastAsia="仿宋"/>
          <w:lang w:val="en-US" w:eastAsia="zh-CN"/>
        </w:rPr>
        <w:t>10</w:t>
      </w:r>
      <w:r>
        <w:rPr>
          <w:rFonts w:hint="eastAsia" w:ascii="仿宋" w:hAnsi="仿宋" w:eastAsia="仿宋"/>
        </w:rPr>
        <w:t>安全培训工作</w:t>
      </w:r>
      <w:bookmarkEnd w:id="9"/>
    </w:p>
    <w:p w14:paraId="381D6858">
      <w:pPr>
        <w:spacing w:line="360" w:lineRule="auto"/>
        <w:ind w:firstLine="560" w:firstLineChars="200"/>
        <w:jc w:val="left"/>
        <w:rPr>
          <w:rFonts w:ascii="仿宋" w:hAnsi="仿宋" w:eastAsia="仿宋"/>
          <w:sz w:val="28"/>
          <w:szCs w:val="24"/>
        </w:rPr>
      </w:pPr>
      <w:r>
        <w:rPr>
          <w:rFonts w:hint="eastAsia" w:ascii="仿宋" w:hAnsi="仿宋" w:eastAsia="仿宋"/>
          <w:sz w:val="28"/>
          <w:szCs w:val="24"/>
        </w:rPr>
        <w:t>对医疗行业过往发生网络安全事件的原因进行深入分析，大多数网络安全事件都是由于人员安全意识薄弱、无心疏忽或者恶意造成的。我院作为传染病专科医院，院内绝大部分人员都是医疗专业人员，在网络安全上缺乏清晰的认知或是在日常工作中毫无网络安全意识。对此我院在安全运营工作中需定期的进行安全意识培训，不断强化员工网络安全意识。特别是在国庆、两会、HW等重要时期前开展网络安全意识培训</w:t>
      </w:r>
      <w:r>
        <w:rPr>
          <w:rFonts w:hint="eastAsia" w:ascii="仿宋" w:hAnsi="仿宋" w:eastAsia="仿宋"/>
          <w:kern w:val="0"/>
          <w:sz w:val="28"/>
          <w:szCs w:val="24"/>
        </w:rPr>
        <w:t>通过以案说法、警示教育等形式，普及工作中的基本网络安全知识，能够极大的提升网络安全防范意识，提高员工识别和应对网络安全威胁的能力。防止黑客通过安全意识薄弱的员工采取钓鱼、社工等方式带来攻击事件。</w:t>
      </w:r>
    </w:p>
    <w:p w14:paraId="65CD8EDC">
      <w:pPr>
        <w:pStyle w:val="3"/>
        <w:numPr>
          <w:ilvl w:val="2"/>
          <w:numId w:val="0"/>
        </w:numPr>
        <w:ind w:leftChars="0"/>
        <w:rPr>
          <w:rFonts w:ascii="仿宋" w:hAnsi="仿宋" w:eastAsia="仿宋"/>
        </w:rPr>
      </w:pPr>
      <w:bookmarkStart w:id="10" w:name="_Toc167116463"/>
      <w:r>
        <w:rPr>
          <w:rFonts w:hint="eastAsia" w:ascii="仿宋" w:hAnsi="仿宋" w:eastAsia="仿宋"/>
          <w:lang w:val="en-US" w:eastAsia="zh-CN"/>
        </w:rPr>
        <w:t>11、</w:t>
      </w:r>
      <w:r>
        <w:rPr>
          <w:rFonts w:hint="eastAsia" w:ascii="仿宋" w:hAnsi="仿宋" w:eastAsia="仿宋"/>
        </w:rPr>
        <w:t>网络安全保险兜底工作</w:t>
      </w:r>
      <w:bookmarkEnd w:id="10"/>
    </w:p>
    <w:p w14:paraId="5D3059AE">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无论是技术手段建设还是定期安全运营工作的目标都是对网络安全事件进行预防。但当安全事件突破技术手段后将会对医院造成巨大经济损失、名誉损失等。对此通过网络安全保险，作为网络安全最后的“兜底”，能够在我院当前有限安全预算情况下以其保险产品的属性为我院提供风险兜底及财务补偿，从而提升我院运营的稳定性。结合我院当前的信息化建设现状、配套安全建设现状与医疗行业网络安全风险现状，我院在25年网络安全运营工作中将采购网络勒索损失保障、应急响应费用保障、数据恢复费用保障以及保密责任保障等相关保险保障。以此对安全事件发生后的安全风险进行转移，在提升网络安全事件应对能力的同时提升网络安全投入与产出比，优化我院对于网络安全风险管理的成本投入。</w:t>
      </w:r>
    </w:p>
    <w:p w14:paraId="47F39DAF">
      <w:pPr>
        <w:pStyle w:val="3"/>
        <w:numPr>
          <w:ilvl w:val="2"/>
          <w:numId w:val="0"/>
        </w:numPr>
        <w:ind w:leftChars="0"/>
        <w:rPr>
          <w:rFonts w:ascii="仿宋" w:hAnsi="仿宋" w:eastAsia="仿宋"/>
        </w:rPr>
      </w:pPr>
      <w:bookmarkStart w:id="11" w:name="_Toc167116464"/>
      <w:r>
        <w:rPr>
          <w:rFonts w:hint="eastAsia" w:ascii="仿宋" w:hAnsi="仿宋" w:eastAsia="仿宋"/>
          <w:lang w:val="en-US" w:eastAsia="zh-CN"/>
        </w:rPr>
        <w:t>12、</w:t>
      </w:r>
      <w:r>
        <w:rPr>
          <w:rFonts w:hint="eastAsia" w:ascii="仿宋" w:hAnsi="仿宋" w:eastAsia="仿宋"/>
        </w:rPr>
        <w:t>安全工作清单</w:t>
      </w:r>
      <w:bookmarkEnd w:id="11"/>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992"/>
        <w:gridCol w:w="4111"/>
      </w:tblGrid>
      <w:tr w14:paraId="7F62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77D22B3">
            <w:pPr>
              <w:jc w:val="center"/>
              <w:rPr>
                <w:rFonts w:ascii="仿宋" w:hAnsi="仿宋" w:eastAsia="仿宋"/>
                <w:kern w:val="0"/>
                <w:sz w:val="21"/>
                <w:szCs w:val="21"/>
              </w:rPr>
            </w:pPr>
            <w:r>
              <w:rPr>
                <w:rFonts w:hint="eastAsia" w:ascii="仿宋" w:hAnsi="仿宋" w:eastAsia="仿宋"/>
                <w:kern w:val="0"/>
                <w:sz w:val="21"/>
                <w:szCs w:val="21"/>
              </w:rPr>
              <w:t>序号</w:t>
            </w:r>
          </w:p>
        </w:tc>
        <w:tc>
          <w:tcPr>
            <w:tcW w:w="2552" w:type="dxa"/>
          </w:tcPr>
          <w:p w14:paraId="1084A737">
            <w:pPr>
              <w:jc w:val="center"/>
              <w:rPr>
                <w:rFonts w:ascii="仿宋" w:hAnsi="仿宋" w:eastAsia="仿宋"/>
                <w:kern w:val="0"/>
                <w:sz w:val="21"/>
                <w:szCs w:val="21"/>
              </w:rPr>
            </w:pPr>
            <w:r>
              <w:rPr>
                <w:rFonts w:hint="eastAsia" w:ascii="仿宋" w:hAnsi="仿宋" w:eastAsia="仿宋"/>
                <w:kern w:val="0"/>
                <w:sz w:val="21"/>
                <w:szCs w:val="21"/>
              </w:rPr>
              <w:t>工作项</w:t>
            </w:r>
          </w:p>
        </w:tc>
        <w:tc>
          <w:tcPr>
            <w:tcW w:w="992" w:type="dxa"/>
          </w:tcPr>
          <w:p w14:paraId="374EB43E">
            <w:pPr>
              <w:jc w:val="center"/>
              <w:rPr>
                <w:rFonts w:ascii="仿宋" w:hAnsi="仿宋" w:eastAsia="仿宋"/>
                <w:kern w:val="0"/>
                <w:sz w:val="21"/>
                <w:szCs w:val="21"/>
              </w:rPr>
            </w:pPr>
            <w:r>
              <w:rPr>
                <w:rFonts w:hint="eastAsia" w:ascii="仿宋" w:hAnsi="仿宋" w:eastAsia="仿宋"/>
                <w:kern w:val="0"/>
                <w:sz w:val="21"/>
                <w:szCs w:val="21"/>
              </w:rPr>
              <w:t>频率</w:t>
            </w:r>
          </w:p>
        </w:tc>
        <w:tc>
          <w:tcPr>
            <w:tcW w:w="4111" w:type="dxa"/>
          </w:tcPr>
          <w:p w14:paraId="4ECCC500">
            <w:pPr>
              <w:jc w:val="center"/>
              <w:rPr>
                <w:rFonts w:ascii="仿宋" w:hAnsi="仿宋" w:eastAsia="仿宋"/>
                <w:kern w:val="0"/>
                <w:sz w:val="21"/>
                <w:szCs w:val="21"/>
              </w:rPr>
            </w:pPr>
            <w:r>
              <w:rPr>
                <w:rFonts w:hint="eastAsia" w:ascii="仿宋" w:hAnsi="仿宋" w:eastAsia="仿宋"/>
                <w:kern w:val="0"/>
                <w:sz w:val="21"/>
                <w:szCs w:val="21"/>
              </w:rPr>
              <w:t>备注</w:t>
            </w:r>
          </w:p>
        </w:tc>
      </w:tr>
      <w:tr w14:paraId="7C8C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C15FF9">
            <w:pPr>
              <w:pStyle w:val="9"/>
              <w:rPr>
                <w:sz w:val="20"/>
              </w:rPr>
            </w:pPr>
            <w:r>
              <w:rPr>
                <w:rFonts w:hint="eastAsia"/>
                <w:sz w:val="20"/>
              </w:rPr>
              <w:t>1</w:t>
            </w:r>
          </w:p>
        </w:tc>
        <w:tc>
          <w:tcPr>
            <w:tcW w:w="2552" w:type="dxa"/>
            <w:vAlign w:val="center"/>
          </w:tcPr>
          <w:p w14:paraId="22EC26AC">
            <w:pPr>
              <w:rPr>
                <w:rFonts w:ascii="仿宋" w:hAnsi="仿宋" w:eastAsia="仿宋"/>
                <w:kern w:val="0"/>
                <w:sz w:val="21"/>
                <w:szCs w:val="21"/>
              </w:rPr>
            </w:pPr>
            <w:r>
              <w:rPr>
                <w:rFonts w:hint="eastAsia" w:ascii="仿宋" w:hAnsi="仿宋" w:eastAsia="仿宋"/>
                <w:kern w:val="0"/>
                <w:sz w:val="21"/>
                <w:szCs w:val="21"/>
              </w:rPr>
              <w:t>重要时期保护工作</w:t>
            </w:r>
          </w:p>
        </w:tc>
        <w:tc>
          <w:tcPr>
            <w:tcW w:w="992" w:type="dxa"/>
            <w:vAlign w:val="center"/>
          </w:tcPr>
          <w:p w14:paraId="68DA19EC">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14:paraId="0CE19EDD">
            <w:pPr>
              <w:rPr>
                <w:rFonts w:ascii="仿宋" w:hAnsi="仿宋" w:eastAsia="仿宋"/>
                <w:kern w:val="0"/>
                <w:sz w:val="21"/>
                <w:szCs w:val="21"/>
              </w:rPr>
            </w:pPr>
            <w:r>
              <w:rPr>
                <w:rFonts w:hint="eastAsia" w:ascii="仿宋" w:hAnsi="仿宋" w:eastAsia="仿宋"/>
                <w:kern w:val="0"/>
                <w:sz w:val="21"/>
                <w:szCs w:val="21"/>
              </w:rPr>
              <w:t>五一、国庆、两会、HW等重要时期前一两周开始直至重要时期结束。</w:t>
            </w:r>
          </w:p>
        </w:tc>
      </w:tr>
      <w:tr w14:paraId="2CAD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B8EA1E4">
            <w:pPr>
              <w:pStyle w:val="9"/>
              <w:rPr>
                <w:sz w:val="20"/>
              </w:rPr>
            </w:pPr>
            <w:r>
              <w:rPr>
                <w:rFonts w:hint="eastAsia"/>
                <w:sz w:val="20"/>
              </w:rPr>
              <w:t>2</w:t>
            </w:r>
          </w:p>
        </w:tc>
        <w:tc>
          <w:tcPr>
            <w:tcW w:w="2552" w:type="dxa"/>
            <w:vAlign w:val="center"/>
          </w:tcPr>
          <w:p w14:paraId="55BBD9FB">
            <w:pPr>
              <w:rPr>
                <w:rFonts w:ascii="仿宋" w:hAnsi="仿宋" w:eastAsia="仿宋"/>
                <w:kern w:val="0"/>
                <w:sz w:val="21"/>
                <w:szCs w:val="21"/>
              </w:rPr>
            </w:pPr>
            <w:r>
              <w:rPr>
                <w:rFonts w:hint="eastAsia" w:ascii="仿宋" w:hAnsi="仿宋" w:eastAsia="仿宋"/>
                <w:kern w:val="0"/>
                <w:sz w:val="21"/>
                <w:szCs w:val="21"/>
              </w:rPr>
              <w:t>入网安全评估工作</w:t>
            </w:r>
          </w:p>
        </w:tc>
        <w:tc>
          <w:tcPr>
            <w:tcW w:w="992" w:type="dxa"/>
            <w:vAlign w:val="center"/>
          </w:tcPr>
          <w:p w14:paraId="18C1702F">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14:paraId="25818B2F">
            <w:pPr>
              <w:rPr>
                <w:rFonts w:ascii="仿宋" w:hAnsi="仿宋" w:eastAsia="仿宋"/>
                <w:kern w:val="0"/>
                <w:sz w:val="21"/>
                <w:szCs w:val="21"/>
              </w:rPr>
            </w:pPr>
            <w:r>
              <w:rPr>
                <w:rFonts w:hint="eastAsia" w:ascii="仿宋" w:hAnsi="仿宋" w:eastAsia="仿宋"/>
                <w:kern w:val="0"/>
                <w:sz w:val="21"/>
                <w:szCs w:val="21"/>
              </w:rPr>
              <w:t>新系统正式入网使用前进行。</w:t>
            </w:r>
          </w:p>
        </w:tc>
      </w:tr>
      <w:tr w14:paraId="473F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BBA614">
            <w:pPr>
              <w:pStyle w:val="9"/>
              <w:rPr>
                <w:sz w:val="20"/>
              </w:rPr>
            </w:pPr>
            <w:r>
              <w:rPr>
                <w:rFonts w:hint="eastAsia"/>
                <w:sz w:val="20"/>
              </w:rPr>
              <w:t>3</w:t>
            </w:r>
          </w:p>
        </w:tc>
        <w:tc>
          <w:tcPr>
            <w:tcW w:w="2552" w:type="dxa"/>
            <w:vAlign w:val="center"/>
          </w:tcPr>
          <w:p w14:paraId="09C29C91">
            <w:pPr>
              <w:rPr>
                <w:rFonts w:ascii="仿宋" w:hAnsi="仿宋" w:eastAsia="仿宋"/>
                <w:kern w:val="0"/>
                <w:sz w:val="21"/>
                <w:szCs w:val="21"/>
              </w:rPr>
            </w:pPr>
            <w:r>
              <w:rPr>
                <w:rFonts w:hint="eastAsia" w:ascii="仿宋" w:hAnsi="仿宋" w:eastAsia="仿宋"/>
                <w:kern w:val="0"/>
                <w:sz w:val="21"/>
                <w:szCs w:val="21"/>
              </w:rPr>
              <w:t>驻场技术支持工作</w:t>
            </w:r>
          </w:p>
        </w:tc>
        <w:tc>
          <w:tcPr>
            <w:tcW w:w="992" w:type="dxa"/>
            <w:vAlign w:val="center"/>
          </w:tcPr>
          <w:p w14:paraId="6FD10B23">
            <w:pPr>
              <w:jc w:val="center"/>
              <w:rPr>
                <w:rFonts w:ascii="仿宋" w:hAnsi="仿宋" w:eastAsia="仿宋"/>
                <w:kern w:val="0"/>
                <w:sz w:val="21"/>
                <w:szCs w:val="21"/>
              </w:rPr>
            </w:pPr>
            <w:r>
              <w:rPr>
                <w:rFonts w:hint="eastAsia" w:ascii="仿宋" w:hAnsi="仿宋" w:eastAsia="仿宋"/>
                <w:kern w:val="0"/>
                <w:sz w:val="21"/>
                <w:szCs w:val="21"/>
              </w:rPr>
              <w:t>常态化</w:t>
            </w:r>
          </w:p>
        </w:tc>
        <w:tc>
          <w:tcPr>
            <w:tcW w:w="4111" w:type="dxa"/>
          </w:tcPr>
          <w:p w14:paraId="44F089D3">
            <w:pPr>
              <w:rPr>
                <w:rFonts w:ascii="仿宋" w:hAnsi="仿宋" w:eastAsia="仿宋"/>
                <w:kern w:val="0"/>
                <w:sz w:val="21"/>
                <w:szCs w:val="21"/>
              </w:rPr>
            </w:pPr>
          </w:p>
        </w:tc>
      </w:tr>
      <w:tr w14:paraId="70B7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545E5F0">
            <w:pPr>
              <w:pStyle w:val="9"/>
              <w:rPr>
                <w:sz w:val="20"/>
              </w:rPr>
            </w:pPr>
            <w:r>
              <w:rPr>
                <w:rFonts w:hint="eastAsia"/>
                <w:sz w:val="20"/>
              </w:rPr>
              <w:t>4</w:t>
            </w:r>
          </w:p>
        </w:tc>
        <w:tc>
          <w:tcPr>
            <w:tcW w:w="2552" w:type="dxa"/>
            <w:vAlign w:val="center"/>
          </w:tcPr>
          <w:p w14:paraId="6C82A273">
            <w:pPr>
              <w:rPr>
                <w:rFonts w:ascii="仿宋" w:hAnsi="仿宋" w:eastAsia="仿宋"/>
                <w:kern w:val="0"/>
                <w:sz w:val="21"/>
                <w:szCs w:val="21"/>
              </w:rPr>
            </w:pPr>
            <w:r>
              <w:rPr>
                <w:rFonts w:hint="eastAsia" w:ascii="仿宋" w:hAnsi="仿宋" w:eastAsia="仿宋"/>
                <w:kern w:val="0"/>
                <w:sz w:val="21"/>
                <w:szCs w:val="21"/>
              </w:rPr>
              <w:t>基线核查工作</w:t>
            </w:r>
          </w:p>
        </w:tc>
        <w:tc>
          <w:tcPr>
            <w:tcW w:w="992" w:type="dxa"/>
            <w:vAlign w:val="center"/>
          </w:tcPr>
          <w:p w14:paraId="714ED6A6">
            <w:pPr>
              <w:jc w:val="center"/>
              <w:rPr>
                <w:rFonts w:ascii="仿宋" w:hAnsi="仿宋" w:eastAsia="仿宋"/>
                <w:kern w:val="0"/>
                <w:sz w:val="21"/>
                <w:szCs w:val="21"/>
              </w:rPr>
            </w:pPr>
            <w:r>
              <w:rPr>
                <w:rFonts w:hint="eastAsia" w:ascii="仿宋" w:hAnsi="仿宋" w:eastAsia="仿宋"/>
                <w:kern w:val="0"/>
                <w:sz w:val="21"/>
                <w:szCs w:val="21"/>
              </w:rPr>
              <w:t>2次/年</w:t>
            </w:r>
          </w:p>
        </w:tc>
        <w:tc>
          <w:tcPr>
            <w:tcW w:w="4111" w:type="dxa"/>
          </w:tcPr>
          <w:p w14:paraId="485D0AAC">
            <w:pPr>
              <w:rPr>
                <w:rFonts w:ascii="仿宋" w:hAnsi="仿宋" w:eastAsia="仿宋"/>
                <w:kern w:val="0"/>
                <w:sz w:val="21"/>
                <w:szCs w:val="21"/>
              </w:rPr>
            </w:pPr>
          </w:p>
        </w:tc>
      </w:tr>
      <w:tr w14:paraId="2EF8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5C7B94">
            <w:pPr>
              <w:pStyle w:val="9"/>
              <w:rPr>
                <w:sz w:val="20"/>
              </w:rPr>
            </w:pPr>
            <w:r>
              <w:rPr>
                <w:rFonts w:hint="eastAsia"/>
                <w:sz w:val="20"/>
              </w:rPr>
              <w:t>5</w:t>
            </w:r>
          </w:p>
        </w:tc>
        <w:tc>
          <w:tcPr>
            <w:tcW w:w="2552" w:type="dxa"/>
            <w:vAlign w:val="center"/>
          </w:tcPr>
          <w:p w14:paraId="3738595F">
            <w:pPr>
              <w:rPr>
                <w:rFonts w:ascii="仿宋" w:hAnsi="仿宋" w:eastAsia="仿宋"/>
                <w:kern w:val="0"/>
                <w:sz w:val="21"/>
                <w:szCs w:val="21"/>
              </w:rPr>
            </w:pPr>
            <w:r>
              <w:rPr>
                <w:rFonts w:hint="eastAsia" w:ascii="仿宋" w:hAnsi="仿宋" w:eastAsia="仿宋"/>
                <w:kern w:val="0"/>
                <w:sz w:val="21"/>
                <w:szCs w:val="21"/>
              </w:rPr>
              <w:t>风险评估工作</w:t>
            </w:r>
          </w:p>
        </w:tc>
        <w:tc>
          <w:tcPr>
            <w:tcW w:w="992" w:type="dxa"/>
            <w:vAlign w:val="center"/>
          </w:tcPr>
          <w:p w14:paraId="66F93955">
            <w:pPr>
              <w:jc w:val="center"/>
              <w:rPr>
                <w:rFonts w:ascii="仿宋" w:hAnsi="仿宋" w:eastAsia="仿宋"/>
                <w:kern w:val="0"/>
                <w:sz w:val="21"/>
                <w:szCs w:val="21"/>
              </w:rPr>
            </w:pPr>
            <w:r>
              <w:rPr>
                <w:rFonts w:hint="eastAsia" w:ascii="仿宋" w:hAnsi="仿宋" w:eastAsia="仿宋"/>
                <w:kern w:val="0"/>
                <w:sz w:val="21"/>
                <w:szCs w:val="21"/>
              </w:rPr>
              <w:t>1次/年</w:t>
            </w:r>
          </w:p>
        </w:tc>
        <w:tc>
          <w:tcPr>
            <w:tcW w:w="4111" w:type="dxa"/>
          </w:tcPr>
          <w:p w14:paraId="3828C69D">
            <w:pPr>
              <w:rPr>
                <w:rFonts w:ascii="仿宋" w:hAnsi="仿宋" w:eastAsia="仿宋"/>
                <w:kern w:val="0"/>
                <w:sz w:val="21"/>
                <w:szCs w:val="21"/>
              </w:rPr>
            </w:pPr>
          </w:p>
        </w:tc>
      </w:tr>
      <w:tr w14:paraId="4388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2DCE3E">
            <w:pPr>
              <w:pStyle w:val="9"/>
              <w:rPr>
                <w:sz w:val="20"/>
              </w:rPr>
            </w:pPr>
            <w:r>
              <w:rPr>
                <w:rFonts w:hint="eastAsia"/>
                <w:sz w:val="20"/>
              </w:rPr>
              <w:t>6</w:t>
            </w:r>
          </w:p>
        </w:tc>
        <w:tc>
          <w:tcPr>
            <w:tcW w:w="2552" w:type="dxa"/>
            <w:vAlign w:val="center"/>
          </w:tcPr>
          <w:p w14:paraId="378049D8">
            <w:pPr>
              <w:rPr>
                <w:rFonts w:ascii="仿宋" w:hAnsi="仿宋" w:eastAsia="仿宋"/>
                <w:kern w:val="0"/>
                <w:sz w:val="21"/>
                <w:szCs w:val="21"/>
              </w:rPr>
            </w:pPr>
            <w:r>
              <w:rPr>
                <w:rFonts w:hint="eastAsia" w:ascii="仿宋" w:hAnsi="仿宋" w:eastAsia="仿宋"/>
                <w:kern w:val="0"/>
                <w:sz w:val="21"/>
                <w:szCs w:val="21"/>
              </w:rPr>
              <w:t>应急响应工作</w:t>
            </w:r>
          </w:p>
        </w:tc>
        <w:tc>
          <w:tcPr>
            <w:tcW w:w="992" w:type="dxa"/>
            <w:vAlign w:val="center"/>
          </w:tcPr>
          <w:p w14:paraId="28514059">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14:paraId="24774F66">
            <w:pPr>
              <w:rPr>
                <w:rFonts w:ascii="仿宋" w:hAnsi="仿宋" w:eastAsia="仿宋"/>
                <w:kern w:val="0"/>
                <w:sz w:val="21"/>
                <w:szCs w:val="21"/>
              </w:rPr>
            </w:pPr>
            <w:r>
              <w:rPr>
                <w:rFonts w:hint="eastAsia" w:ascii="仿宋" w:hAnsi="仿宋" w:eastAsia="仿宋"/>
                <w:kern w:val="0"/>
                <w:sz w:val="21"/>
                <w:szCs w:val="21"/>
              </w:rPr>
              <w:t>包括应急演练工作和安全事故应急响应。</w:t>
            </w:r>
          </w:p>
        </w:tc>
      </w:tr>
      <w:tr w14:paraId="731F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B6E6900">
            <w:pPr>
              <w:pStyle w:val="9"/>
              <w:rPr>
                <w:sz w:val="20"/>
              </w:rPr>
            </w:pPr>
            <w:r>
              <w:rPr>
                <w:rFonts w:hint="eastAsia"/>
                <w:sz w:val="20"/>
              </w:rPr>
              <w:t>7</w:t>
            </w:r>
          </w:p>
        </w:tc>
        <w:tc>
          <w:tcPr>
            <w:tcW w:w="2552" w:type="dxa"/>
            <w:vAlign w:val="center"/>
          </w:tcPr>
          <w:p w14:paraId="51783724">
            <w:pPr>
              <w:rPr>
                <w:rFonts w:ascii="仿宋" w:hAnsi="仿宋" w:eastAsia="仿宋"/>
                <w:kern w:val="0"/>
                <w:sz w:val="21"/>
                <w:szCs w:val="21"/>
              </w:rPr>
            </w:pPr>
            <w:r>
              <w:rPr>
                <w:rFonts w:hint="eastAsia" w:ascii="仿宋" w:hAnsi="仿宋" w:eastAsia="仿宋"/>
                <w:kern w:val="0"/>
                <w:sz w:val="21"/>
                <w:szCs w:val="21"/>
              </w:rPr>
              <w:t>漏洞扫描工作</w:t>
            </w:r>
          </w:p>
        </w:tc>
        <w:tc>
          <w:tcPr>
            <w:tcW w:w="992" w:type="dxa"/>
            <w:vAlign w:val="center"/>
          </w:tcPr>
          <w:p w14:paraId="17B3B0ED">
            <w:pPr>
              <w:jc w:val="center"/>
              <w:rPr>
                <w:rFonts w:ascii="仿宋" w:hAnsi="仿宋" w:eastAsia="仿宋"/>
                <w:kern w:val="0"/>
                <w:sz w:val="21"/>
                <w:szCs w:val="21"/>
              </w:rPr>
            </w:pPr>
            <w:r>
              <w:rPr>
                <w:rFonts w:hint="eastAsia" w:ascii="仿宋" w:hAnsi="仿宋" w:eastAsia="仿宋"/>
                <w:kern w:val="0"/>
                <w:sz w:val="21"/>
                <w:szCs w:val="21"/>
              </w:rPr>
              <w:t>4次/年</w:t>
            </w:r>
          </w:p>
        </w:tc>
        <w:tc>
          <w:tcPr>
            <w:tcW w:w="4111" w:type="dxa"/>
          </w:tcPr>
          <w:p w14:paraId="1D8168B5">
            <w:pPr>
              <w:rPr>
                <w:rFonts w:ascii="仿宋" w:hAnsi="仿宋" w:eastAsia="仿宋"/>
                <w:kern w:val="0"/>
                <w:sz w:val="21"/>
                <w:szCs w:val="21"/>
              </w:rPr>
            </w:pPr>
          </w:p>
        </w:tc>
      </w:tr>
      <w:tr w14:paraId="0AA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A1AF14">
            <w:pPr>
              <w:pStyle w:val="9"/>
              <w:rPr>
                <w:sz w:val="20"/>
              </w:rPr>
            </w:pPr>
            <w:r>
              <w:rPr>
                <w:rFonts w:hint="eastAsia"/>
                <w:sz w:val="20"/>
              </w:rPr>
              <w:t>8</w:t>
            </w:r>
          </w:p>
        </w:tc>
        <w:tc>
          <w:tcPr>
            <w:tcW w:w="2552" w:type="dxa"/>
            <w:vAlign w:val="center"/>
          </w:tcPr>
          <w:p w14:paraId="1F7926F1">
            <w:pPr>
              <w:rPr>
                <w:rFonts w:ascii="仿宋" w:hAnsi="仿宋" w:eastAsia="仿宋"/>
                <w:kern w:val="0"/>
                <w:sz w:val="21"/>
                <w:szCs w:val="21"/>
              </w:rPr>
            </w:pPr>
            <w:r>
              <w:rPr>
                <w:rFonts w:hint="eastAsia" w:ascii="仿宋" w:hAnsi="仿宋" w:eastAsia="仿宋"/>
                <w:kern w:val="0"/>
                <w:sz w:val="21"/>
                <w:szCs w:val="21"/>
              </w:rPr>
              <w:t>重要系统内渗透测试工作</w:t>
            </w:r>
          </w:p>
        </w:tc>
        <w:tc>
          <w:tcPr>
            <w:tcW w:w="992" w:type="dxa"/>
            <w:vAlign w:val="center"/>
          </w:tcPr>
          <w:p w14:paraId="1E1F57F7">
            <w:pPr>
              <w:jc w:val="center"/>
              <w:rPr>
                <w:rFonts w:ascii="仿宋" w:hAnsi="仿宋" w:eastAsia="仿宋"/>
                <w:kern w:val="0"/>
                <w:sz w:val="21"/>
                <w:szCs w:val="21"/>
              </w:rPr>
            </w:pPr>
            <w:r>
              <w:rPr>
                <w:rFonts w:hint="eastAsia" w:ascii="仿宋" w:hAnsi="仿宋" w:eastAsia="仿宋"/>
                <w:kern w:val="0"/>
                <w:sz w:val="21"/>
                <w:szCs w:val="21"/>
              </w:rPr>
              <w:t>2次/年</w:t>
            </w:r>
          </w:p>
        </w:tc>
        <w:tc>
          <w:tcPr>
            <w:tcW w:w="4111" w:type="dxa"/>
          </w:tcPr>
          <w:p w14:paraId="374ADA61">
            <w:pPr>
              <w:rPr>
                <w:rFonts w:ascii="仿宋" w:hAnsi="仿宋" w:eastAsia="仿宋"/>
                <w:kern w:val="0"/>
                <w:sz w:val="21"/>
                <w:szCs w:val="21"/>
              </w:rPr>
            </w:pPr>
          </w:p>
        </w:tc>
      </w:tr>
      <w:tr w14:paraId="4DA8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59D4E35">
            <w:pPr>
              <w:pStyle w:val="9"/>
              <w:rPr>
                <w:sz w:val="20"/>
              </w:rPr>
            </w:pPr>
            <w:r>
              <w:rPr>
                <w:rFonts w:hint="eastAsia"/>
                <w:sz w:val="20"/>
              </w:rPr>
              <w:t>9</w:t>
            </w:r>
          </w:p>
        </w:tc>
        <w:tc>
          <w:tcPr>
            <w:tcW w:w="2552" w:type="dxa"/>
            <w:vAlign w:val="center"/>
          </w:tcPr>
          <w:p w14:paraId="394442C8">
            <w:pPr>
              <w:rPr>
                <w:rFonts w:ascii="仿宋" w:hAnsi="仿宋" w:eastAsia="仿宋"/>
                <w:kern w:val="0"/>
                <w:sz w:val="21"/>
                <w:szCs w:val="21"/>
              </w:rPr>
            </w:pPr>
            <w:r>
              <w:rPr>
                <w:rFonts w:hint="eastAsia" w:ascii="仿宋" w:hAnsi="仿宋" w:eastAsia="仿宋"/>
                <w:kern w:val="0"/>
                <w:sz w:val="21"/>
                <w:szCs w:val="21"/>
              </w:rPr>
              <w:t>安全培训工作</w:t>
            </w:r>
          </w:p>
        </w:tc>
        <w:tc>
          <w:tcPr>
            <w:tcW w:w="992" w:type="dxa"/>
            <w:vAlign w:val="center"/>
          </w:tcPr>
          <w:p w14:paraId="5A652102">
            <w:pPr>
              <w:jc w:val="center"/>
              <w:rPr>
                <w:rFonts w:ascii="仿宋" w:hAnsi="仿宋" w:eastAsia="仿宋"/>
                <w:kern w:val="0"/>
                <w:sz w:val="21"/>
                <w:szCs w:val="21"/>
              </w:rPr>
            </w:pPr>
            <w:r>
              <w:rPr>
                <w:rFonts w:hint="eastAsia" w:ascii="仿宋" w:hAnsi="仿宋" w:eastAsia="仿宋"/>
                <w:kern w:val="0"/>
                <w:sz w:val="21"/>
                <w:szCs w:val="21"/>
                <w:lang w:val="en-US" w:eastAsia="zh-CN"/>
              </w:rPr>
              <w:t>2</w:t>
            </w:r>
            <w:r>
              <w:rPr>
                <w:rFonts w:hint="eastAsia" w:ascii="仿宋" w:hAnsi="仿宋" w:eastAsia="仿宋"/>
                <w:kern w:val="0"/>
                <w:sz w:val="21"/>
                <w:szCs w:val="21"/>
              </w:rPr>
              <w:t>次/年</w:t>
            </w:r>
          </w:p>
        </w:tc>
        <w:tc>
          <w:tcPr>
            <w:tcW w:w="4111" w:type="dxa"/>
          </w:tcPr>
          <w:p w14:paraId="4F66A7B1">
            <w:pPr>
              <w:rPr>
                <w:rFonts w:ascii="仿宋" w:hAnsi="仿宋" w:eastAsia="仿宋"/>
                <w:kern w:val="0"/>
                <w:sz w:val="21"/>
                <w:szCs w:val="21"/>
              </w:rPr>
            </w:pPr>
            <w:r>
              <w:rPr>
                <w:rFonts w:hint="eastAsia" w:ascii="仿宋" w:hAnsi="仿宋" w:eastAsia="仿宋"/>
                <w:kern w:val="0"/>
                <w:sz w:val="21"/>
                <w:szCs w:val="21"/>
              </w:rPr>
              <w:t>针对业务人员的安全意识培训</w:t>
            </w:r>
            <w:r>
              <w:rPr>
                <w:rFonts w:hint="eastAsia" w:ascii="仿宋" w:hAnsi="仿宋" w:eastAsia="仿宋"/>
                <w:kern w:val="0"/>
                <w:sz w:val="21"/>
                <w:szCs w:val="21"/>
                <w:lang w:val="en-US" w:eastAsia="zh-CN"/>
              </w:rPr>
              <w:t>2</w:t>
            </w:r>
            <w:r>
              <w:rPr>
                <w:rFonts w:hint="eastAsia" w:ascii="仿宋" w:hAnsi="仿宋" w:eastAsia="仿宋"/>
                <w:kern w:val="0"/>
                <w:sz w:val="21"/>
                <w:szCs w:val="21"/>
              </w:rPr>
              <w:t>次。</w:t>
            </w:r>
          </w:p>
        </w:tc>
      </w:tr>
      <w:tr w14:paraId="0A5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58584A1">
            <w:pPr>
              <w:pStyle w:val="9"/>
              <w:rPr>
                <w:sz w:val="20"/>
              </w:rPr>
            </w:pPr>
            <w:r>
              <w:rPr>
                <w:rFonts w:hint="eastAsia"/>
                <w:sz w:val="20"/>
              </w:rPr>
              <w:t>10</w:t>
            </w:r>
          </w:p>
        </w:tc>
        <w:tc>
          <w:tcPr>
            <w:tcW w:w="2552" w:type="dxa"/>
            <w:vAlign w:val="center"/>
          </w:tcPr>
          <w:p w14:paraId="14421FA1">
            <w:pPr>
              <w:rPr>
                <w:rFonts w:ascii="仿宋" w:hAnsi="仿宋" w:eastAsia="仿宋"/>
                <w:kern w:val="0"/>
                <w:sz w:val="21"/>
                <w:szCs w:val="21"/>
              </w:rPr>
            </w:pPr>
            <w:r>
              <w:rPr>
                <w:rFonts w:hint="eastAsia" w:ascii="仿宋" w:hAnsi="仿宋" w:eastAsia="仿宋"/>
                <w:kern w:val="0"/>
                <w:sz w:val="21"/>
                <w:szCs w:val="21"/>
              </w:rPr>
              <w:t>网络安全保险兜底工作</w:t>
            </w:r>
          </w:p>
        </w:tc>
        <w:tc>
          <w:tcPr>
            <w:tcW w:w="992" w:type="dxa"/>
            <w:vAlign w:val="center"/>
          </w:tcPr>
          <w:p w14:paraId="56531D84">
            <w:pPr>
              <w:jc w:val="center"/>
              <w:rPr>
                <w:rFonts w:ascii="仿宋" w:hAnsi="仿宋" w:eastAsia="仿宋"/>
                <w:kern w:val="0"/>
                <w:sz w:val="21"/>
                <w:szCs w:val="21"/>
              </w:rPr>
            </w:pPr>
            <w:r>
              <w:rPr>
                <w:rFonts w:hint="eastAsia" w:ascii="仿宋" w:hAnsi="仿宋" w:eastAsia="仿宋"/>
                <w:kern w:val="0"/>
                <w:sz w:val="21"/>
                <w:szCs w:val="21"/>
              </w:rPr>
              <w:t>/</w:t>
            </w:r>
          </w:p>
        </w:tc>
        <w:tc>
          <w:tcPr>
            <w:tcW w:w="4111" w:type="dxa"/>
          </w:tcPr>
          <w:p w14:paraId="7F53D6BB">
            <w:pPr>
              <w:rPr>
                <w:rFonts w:ascii="仿宋" w:hAnsi="仿宋" w:eastAsia="仿宋"/>
                <w:kern w:val="0"/>
                <w:sz w:val="21"/>
                <w:szCs w:val="21"/>
              </w:rPr>
            </w:pPr>
            <w:r>
              <w:rPr>
                <w:rFonts w:hint="eastAsia" w:ascii="仿宋" w:hAnsi="仿宋" w:eastAsia="仿宋"/>
                <w:kern w:val="0"/>
                <w:sz w:val="21"/>
                <w:szCs w:val="21"/>
              </w:rPr>
              <w:t>采购网络勒索损失保障、应急响应费用保障、数据恢复费用保障以及保密责任保障等相关保险保障。</w:t>
            </w:r>
          </w:p>
        </w:tc>
      </w:tr>
    </w:tbl>
    <w:p w14:paraId="4800199E">
      <w:pPr>
        <w:rPr>
          <w:rFonts w:ascii="仿宋" w:hAnsi="仿宋" w:eastAsia="仿宋"/>
        </w:rPr>
      </w:pPr>
    </w:p>
    <w:p w14:paraId="17AA1F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363EA"/>
    <w:multiLevelType w:val="multilevel"/>
    <w:tmpl w:val="1FA363EA"/>
    <w:lvl w:ilvl="0" w:tentative="0">
      <w:start w:val="1"/>
      <w:numFmt w:val="chineseCountingThousand"/>
      <w:suff w:val="nothing"/>
      <w:lvlText w:val="%1、"/>
      <w:lvlJc w:val="center"/>
      <w:pPr>
        <w:ind w:left="0" w:firstLine="288"/>
      </w:pPr>
      <w:rPr>
        <w:rFonts w:hint="eastAsia" w:ascii="仿宋" w:hAnsi="仿宋" w:eastAsia="仿宋"/>
        <w:b/>
        <w:i w:val="0"/>
        <w:sz w:val="32"/>
        <w:szCs w:val="52"/>
      </w:rPr>
    </w:lvl>
    <w:lvl w:ilvl="1" w:tentative="0">
      <w:start w:val="1"/>
      <w:numFmt w:val="decimal"/>
      <w:pStyle w:val="2"/>
      <w:isLgl/>
      <w:suff w:val="nothing"/>
      <w:lvlText w:val="%1.%2"/>
      <w:lvlJc w:val="left"/>
      <w:pPr>
        <w:ind w:left="0" w:firstLine="0"/>
      </w:pPr>
      <w:rPr>
        <w:rFonts w:hint="eastAsia" w:ascii="仿宋" w:hAnsi="仿宋" w:eastAsia="仿宋"/>
        <w:b/>
        <w:i w:val="0"/>
        <w:sz w:val="28"/>
        <w:szCs w:val="36"/>
      </w:rPr>
    </w:lvl>
    <w:lvl w:ilvl="2" w:tentative="0">
      <w:start w:val="1"/>
      <w:numFmt w:val="decimal"/>
      <w:pStyle w:val="3"/>
      <w:isLgl/>
      <w:suff w:val="nothing"/>
      <w:lvlText w:val="%1.%2.%3"/>
      <w:lvlJc w:val="left"/>
      <w:pPr>
        <w:ind w:left="0" w:firstLine="0"/>
      </w:pPr>
      <w:rPr>
        <w:rFonts w:hint="eastAsia" w:ascii="仿宋" w:hAnsi="仿宋" w:eastAsia="仿宋"/>
        <w:b/>
        <w:i w:val="0"/>
        <w:sz w:val="28"/>
        <w:szCs w:val="40"/>
      </w:rPr>
    </w:lvl>
    <w:lvl w:ilvl="3" w:tentative="0">
      <w:start w:val="1"/>
      <w:numFmt w:val="decimal"/>
      <w:isLgl/>
      <w:suff w:val="nothing"/>
      <w:lvlText w:val="%1.%2.%3.%4"/>
      <w:lvlJc w:val="left"/>
      <w:pPr>
        <w:ind w:left="0" w:firstLine="0"/>
      </w:pPr>
      <w:rPr>
        <w:rFonts w:hint="eastAsia" w:ascii="宋体" w:eastAsia="宋体"/>
        <w:b/>
        <w:i w:val="0"/>
        <w:sz w:val="24"/>
      </w:rPr>
    </w:lvl>
    <w:lvl w:ilvl="4" w:tentative="0">
      <w:start w:val="1"/>
      <w:numFmt w:val="decimal"/>
      <w:isLgl/>
      <w:suff w:val="nothing"/>
      <w:lvlText w:val="%1.%2.%3.%4.%5"/>
      <w:lvlJc w:val="left"/>
      <w:pPr>
        <w:ind w:left="0" w:firstLine="0"/>
      </w:pPr>
      <w:rPr>
        <w:rFonts w:hint="eastAsia" w:ascii="宋体" w:eastAsia="宋体"/>
        <w:b/>
        <w:i w:val="0"/>
        <w:sz w:val="24"/>
      </w:rPr>
    </w:lvl>
    <w:lvl w:ilvl="5" w:tentative="0">
      <w:start w:val="1"/>
      <w:numFmt w:val="decimal"/>
      <w:isLgl/>
      <w:suff w:val="nothing"/>
      <w:lvlText w:val="%1.%2.%3.%4.%5.%6"/>
      <w:lvlJc w:val="left"/>
      <w:pPr>
        <w:ind w:left="0" w:firstLine="0"/>
      </w:pPr>
      <w:rPr>
        <w:rFonts w:hint="eastAsia" w:ascii="宋体" w:eastAsia="宋体"/>
        <w:b/>
        <w:i w:val="0"/>
        <w:sz w:val="24"/>
      </w:rPr>
    </w:lvl>
    <w:lvl w:ilvl="6" w:tentative="0">
      <w:start w:val="1"/>
      <w:numFmt w:val="decimal"/>
      <w:isLgl/>
      <w:suff w:val="nothing"/>
      <w:lvlText w:val="%1.%2.%3.%4.%5.%6.%7"/>
      <w:lvlJc w:val="left"/>
      <w:pPr>
        <w:ind w:left="0" w:firstLine="0"/>
      </w:pPr>
      <w:rPr>
        <w:rFonts w:hint="eastAsia" w:ascii="宋体" w:eastAsia="宋体"/>
        <w:b/>
        <w:i w:val="0"/>
        <w:sz w:val="24"/>
      </w:rPr>
    </w:lvl>
    <w:lvl w:ilvl="7" w:tentative="0">
      <w:start w:val="1"/>
      <w:numFmt w:val="decimal"/>
      <w:isLgl/>
      <w:suff w:val="nothing"/>
      <w:lvlText w:val="%1.%2.%3.%4.%5.%6.%7.%8"/>
      <w:lvlJc w:val="left"/>
      <w:pPr>
        <w:ind w:left="0" w:firstLine="0"/>
      </w:pPr>
      <w:rPr>
        <w:rFonts w:hint="eastAsia" w:ascii="宋体" w:eastAsia="宋体"/>
        <w:b/>
        <w:i w:val="0"/>
        <w:sz w:val="24"/>
      </w:rPr>
    </w:lvl>
    <w:lvl w:ilvl="8" w:tentative="0">
      <w:start w:val="1"/>
      <w:numFmt w:val="decimal"/>
      <w:isLgl/>
      <w:suff w:val="nothing"/>
      <w:lvlText w:val="%1.%2.%3.%4.%5.%6.%7.%8.%9"/>
      <w:lvlJc w:val="left"/>
      <w:pPr>
        <w:ind w:left="0" w:firstLine="0"/>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44606530"/>
    <w:rsid w:val="05215177"/>
    <w:rsid w:val="0DA770AD"/>
    <w:rsid w:val="17390735"/>
    <w:rsid w:val="2A895E70"/>
    <w:rsid w:val="3B135A0E"/>
    <w:rsid w:val="43C024AB"/>
    <w:rsid w:val="44606530"/>
    <w:rsid w:val="45A858ED"/>
    <w:rsid w:val="479422E2"/>
    <w:rsid w:val="4EF23735"/>
    <w:rsid w:val="51EE0B2B"/>
    <w:rsid w:val="5C207B33"/>
    <w:rsid w:val="60636240"/>
    <w:rsid w:val="68983D3B"/>
    <w:rsid w:val="6B4A0729"/>
    <w:rsid w:val="7DC9372F"/>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numPr>
        <w:ilvl w:val="1"/>
        <w:numId w:val="1"/>
      </w:numPr>
      <w:spacing w:line="360" w:lineRule="auto"/>
      <w:jc w:val="left"/>
      <w:outlineLvl w:val="1"/>
    </w:pPr>
    <w:rPr>
      <w:rFonts w:ascii="仿宋" w:hAnsi="仿宋" w:eastAsia="仿宋" w:cstheme="majorBidi"/>
      <w:b/>
      <w:bCs/>
      <w:sz w:val="28"/>
      <w:szCs w:val="36"/>
    </w:rPr>
  </w:style>
  <w:style w:type="paragraph" w:styleId="3">
    <w:name w:val="heading 3"/>
    <w:basedOn w:val="1"/>
    <w:next w:val="1"/>
    <w:unhideWhenUsed/>
    <w:qFormat/>
    <w:uiPriority w:val="9"/>
    <w:pPr>
      <w:keepNext/>
      <w:keepLines/>
      <w:numPr>
        <w:ilvl w:val="2"/>
        <w:numId w:val="1"/>
      </w:numPr>
      <w:spacing w:line="360" w:lineRule="auto"/>
      <w:jc w:val="left"/>
      <w:outlineLvl w:val="2"/>
    </w:pPr>
    <w:rPr>
      <w:rFonts w:ascii="Calibri" w:hAnsi="Calibri" w:eastAsia="宋体" w:cs="Times New Roman"/>
      <w:b/>
      <w:bCs/>
      <w:sz w:val="28"/>
      <w:szCs w:val="36"/>
      <w:shd w:val="clear" w:color="auto" w:fill="FFFFFF"/>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ql-font-timesnewroman"/>
    <w:basedOn w:val="7"/>
    <w:autoRedefine/>
    <w:qFormat/>
    <w:uiPriority w:val="0"/>
  </w:style>
  <w:style w:type="paragraph" w:styleId="9">
    <w:name w:val="List Paragraph"/>
    <w:basedOn w:val="1"/>
    <w:autoRedefine/>
    <w:qFormat/>
    <w:uiPriority w:val="34"/>
    <w:pPr>
      <w:jc w:val="center"/>
    </w:pPr>
    <w:rPr>
      <w:rFonts w:ascii="仿宋" w:hAnsi="仿宋" w:eastAsia="仿宋"/>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3115</Words>
  <Characters>3126</Characters>
  <Lines>0</Lines>
  <Paragraphs>0</Paragraphs>
  <TotalTime>2</TotalTime>
  <ScaleCrop>false</ScaleCrop>
  <LinksUpToDate>false</LinksUpToDate>
  <CharactersWithSpaces>3126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2024-07-22T01:30:00Z</dcterms:created>
  <dc:creator>Yuan</dc:creator>
  <cp:lastModifiedBy>Yuan</cp:lastModifiedBy>
  <dcterms:modified xsi:type="dcterms:W3CDTF">2024-08-01T08:58:01Z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F5418AA38B704FFB822DFEEBABBB0F10_11</vt:lpwstr>
  </property>
</Properties>
</file>