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0F52B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成都市公共卫生临床医疗中心</w:t>
      </w:r>
    </w:p>
    <w:p w14:paraId="1B5BD99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医院绩效管理系统功能需求</w:t>
      </w:r>
    </w:p>
    <w:p w14:paraId="1546E64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bCs/>
          <w:sz w:val="28"/>
          <w:szCs w:val="28"/>
          <w:lang w:val="en-US" w:eastAsia="zh-CN"/>
        </w:rPr>
      </w:pPr>
      <w:bookmarkStart w:id="0" w:name="_Toc904479816"/>
      <w:bookmarkStart w:id="1" w:name="_Toc117101188"/>
      <w:bookmarkStart w:id="2" w:name="_Toc132287483"/>
      <w:bookmarkStart w:id="3" w:name="_Toc220076484"/>
    </w:p>
    <w:p w14:paraId="5DB6E19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lang w:val="en-US" w:eastAsia="zh-CN"/>
        </w:rPr>
        <w:t>一、</w:t>
      </w:r>
      <w:r>
        <w:rPr>
          <w:rFonts w:hint="eastAsia" w:ascii="黑体" w:hAnsi="黑体" w:eastAsia="黑体" w:cs="黑体"/>
          <w:b w:val="0"/>
          <w:bCs w:val="0"/>
          <w:sz w:val="28"/>
          <w:szCs w:val="28"/>
        </w:rPr>
        <w:t>整体要求</w:t>
      </w:r>
      <w:bookmarkEnd w:id="0"/>
      <w:bookmarkEnd w:id="1"/>
      <w:bookmarkEnd w:id="2"/>
      <w:bookmarkEnd w:id="3"/>
    </w:p>
    <w:p w14:paraId="4BF9AEF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sz w:val="24"/>
          <w:szCs w:val="24"/>
        </w:rPr>
        <w:t>本项目要求基于医院现有</w:t>
      </w:r>
      <w:r>
        <w:rPr>
          <w:rFonts w:hint="eastAsia" w:ascii="方正仿宋_GB2312" w:hAnsi="方正仿宋_GB2312" w:eastAsia="方正仿宋_GB2312" w:cs="方正仿宋_GB2312"/>
          <w:sz w:val="24"/>
          <w:szCs w:val="24"/>
          <w:lang w:val="en-US" w:eastAsia="zh-CN"/>
        </w:rPr>
        <w:t>数据建设医院绩效管理系统</w:t>
      </w:r>
      <w:r>
        <w:rPr>
          <w:rFonts w:hint="eastAsia" w:ascii="方正仿宋_GB2312" w:hAnsi="方正仿宋_GB2312" w:eastAsia="方正仿宋_GB2312" w:cs="方正仿宋_GB2312"/>
          <w:sz w:val="24"/>
          <w:szCs w:val="24"/>
        </w:rPr>
        <w:t>，使</w:t>
      </w:r>
      <w:bookmarkStart w:id="31" w:name="_GoBack"/>
      <w:bookmarkEnd w:id="31"/>
      <w:r>
        <w:rPr>
          <w:rFonts w:hint="eastAsia" w:ascii="方正仿宋_GB2312" w:hAnsi="方正仿宋_GB2312" w:eastAsia="方正仿宋_GB2312" w:cs="方正仿宋_GB2312"/>
          <w:sz w:val="24"/>
          <w:szCs w:val="24"/>
        </w:rPr>
        <w:t>用RBRVS（基于资源消耗为基础的价值尺</w:t>
      </w:r>
      <w:r>
        <w:rPr>
          <w:rFonts w:hint="eastAsia" w:ascii="方正仿宋_GB2312" w:hAnsi="方正仿宋_GB2312" w:eastAsia="方正仿宋_GB2312" w:cs="方正仿宋_GB2312"/>
          <w:color w:val="auto"/>
          <w:sz w:val="24"/>
          <w:szCs w:val="24"/>
        </w:rPr>
        <w:t>度）量化标准，提供基于CPT-RBRVS的医生、护理、医技、药学人员定量考核方案。</w:t>
      </w:r>
      <w:r>
        <w:rPr>
          <w:rFonts w:hint="eastAsia" w:ascii="方正仿宋_GB2312" w:hAnsi="方正仿宋_GB2312" w:eastAsia="方正仿宋_GB2312" w:cs="方正仿宋_GB2312"/>
          <w:color w:val="auto"/>
          <w:sz w:val="24"/>
          <w:szCs w:val="24"/>
          <w:lang w:val="en-US" w:eastAsia="zh-CN"/>
        </w:rPr>
        <w:t>响应</w:t>
      </w:r>
      <w:r>
        <w:rPr>
          <w:rFonts w:hint="eastAsia" w:ascii="方正仿宋_GB2312" w:hAnsi="方正仿宋_GB2312" w:eastAsia="方正仿宋_GB2312" w:cs="方正仿宋_GB2312"/>
          <w:color w:val="auto"/>
          <w:sz w:val="24"/>
          <w:szCs w:val="24"/>
        </w:rPr>
        <w:t>时可以提供基础方案，在实施时需要提供分类细化方案，并满足</w:t>
      </w:r>
      <w:r>
        <w:rPr>
          <w:rFonts w:hint="eastAsia" w:ascii="方正仿宋_GB2312" w:hAnsi="方正仿宋_GB2312" w:eastAsia="方正仿宋_GB2312" w:cs="方正仿宋_GB2312"/>
          <w:color w:val="auto"/>
          <w:sz w:val="24"/>
          <w:szCs w:val="24"/>
          <w:lang w:eastAsia="zh-Hans"/>
        </w:rPr>
        <w:t>四川</w:t>
      </w:r>
      <w:r>
        <w:rPr>
          <w:rFonts w:hint="eastAsia" w:ascii="方正仿宋_GB2312" w:hAnsi="方正仿宋_GB2312" w:eastAsia="方正仿宋_GB2312" w:cs="方正仿宋_GB2312"/>
          <w:color w:val="auto"/>
          <w:sz w:val="24"/>
          <w:szCs w:val="24"/>
        </w:rPr>
        <w:t>省卫健委新收费代码与RBRVS对照关系。</w:t>
      </w:r>
    </w:p>
    <w:p w14:paraId="44BAAB7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微软雅黑" w:hAnsi="微软雅黑" w:eastAsia="微软雅黑" w:cs="微软雅黑"/>
          <w:sz w:val="24"/>
          <w:szCs w:val="24"/>
        </w:rPr>
      </w:pPr>
      <w:r>
        <w:rPr>
          <w:rFonts w:hint="eastAsia" w:ascii="方正仿宋_GB2312" w:hAnsi="方正仿宋_GB2312" w:eastAsia="方正仿宋_GB2312" w:cs="方正仿宋_GB2312"/>
          <w:color w:val="auto"/>
          <w:sz w:val="24"/>
          <w:szCs w:val="24"/>
        </w:rPr>
        <w:t>建立以工作量评价为基础，以RBRVS、DRG为工作量评价工具，以医院战略目标（扩大服务量、提高效率、优化</w:t>
      </w:r>
      <w:r>
        <w:rPr>
          <w:rFonts w:hint="eastAsia" w:ascii="方正仿宋_GB2312" w:hAnsi="方正仿宋_GB2312" w:eastAsia="方正仿宋_GB2312" w:cs="方正仿宋_GB2312"/>
          <w:color w:val="auto"/>
          <w:sz w:val="24"/>
          <w:szCs w:val="24"/>
          <w:lang w:val="en-US" w:eastAsia="zh-CN"/>
        </w:rPr>
        <w:t>病</w:t>
      </w:r>
      <w:r>
        <w:rPr>
          <w:rFonts w:hint="eastAsia" w:ascii="方正仿宋_GB2312" w:hAnsi="方正仿宋_GB2312" w:eastAsia="方正仿宋_GB2312" w:cs="方正仿宋_GB2312"/>
          <w:color w:val="auto"/>
          <w:sz w:val="24"/>
          <w:szCs w:val="24"/>
        </w:rPr>
        <w:t>种结构和收入结构）为导向，统筹效率、质量、成本、科研教学的绩效评价和分配体系，兼顾关键业绩指标和直接成本管控体系，实现绩效分配的公平性，符合</w:t>
      </w:r>
      <w:r>
        <w:rPr>
          <w:rFonts w:hint="eastAsia" w:ascii="方正仿宋_GB2312" w:hAnsi="方正仿宋_GB2312" w:eastAsia="方正仿宋_GB2312" w:cs="方正仿宋_GB2312"/>
          <w:color w:val="auto"/>
          <w:sz w:val="24"/>
          <w:szCs w:val="24"/>
          <w:lang w:val="en-US" w:eastAsia="zh-CN"/>
        </w:rPr>
        <w:t>国家</w:t>
      </w:r>
      <w:r>
        <w:rPr>
          <w:rFonts w:hint="eastAsia" w:ascii="方正仿宋_GB2312" w:hAnsi="方正仿宋_GB2312" w:eastAsia="方正仿宋_GB2312" w:cs="方正仿宋_GB2312"/>
          <w:color w:val="auto"/>
          <w:sz w:val="24"/>
          <w:szCs w:val="24"/>
        </w:rPr>
        <w:t>卫健委九项</w:t>
      </w:r>
      <w:r>
        <w:rPr>
          <w:rFonts w:hint="eastAsia" w:ascii="方正仿宋_GB2312" w:hAnsi="方正仿宋_GB2312" w:eastAsia="方正仿宋_GB2312" w:cs="方正仿宋_GB2312"/>
          <w:sz w:val="24"/>
          <w:szCs w:val="24"/>
        </w:rPr>
        <w:t>准则要求，体现多劳多得</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优绩优酬，保证医院的公益性要求。</w:t>
      </w:r>
    </w:p>
    <w:p w14:paraId="31749A88">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二、方案基本要求</w:t>
      </w:r>
    </w:p>
    <w:p w14:paraId="4850339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cs="楷体"/>
          <w:b w:val="0"/>
          <w:bCs w:val="0"/>
          <w:sz w:val="24"/>
          <w:szCs w:val="24"/>
        </w:rPr>
      </w:pPr>
      <w:bookmarkStart w:id="4" w:name="_Toc132287484"/>
      <w:bookmarkStart w:id="5" w:name="_Toc1703014046"/>
      <w:bookmarkStart w:id="6" w:name="_Toc220076485"/>
      <w:r>
        <w:rPr>
          <w:rFonts w:hint="eastAsia" w:ascii="楷体" w:hAnsi="楷体" w:eastAsia="楷体" w:cs="楷体"/>
          <w:b w:val="0"/>
          <w:bCs w:val="0"/>
          <w:sz w:val="24"/>
          <w:szCs w:val="24"/>
          <w:lang w:val="en-US" w:eastAsia="zh-CN"/>
        </w:rPr>
        <w:t>2.1</w:t>
      </w:r>
      <w:r>
        <w:rPr>
          <w:rFonts w:hint="eastAsia" w:ascii="楷体" w:hAnsi="楷体" w:eastAsia="楷体" w:cs="楷体"/>
          <w:b w:val="0"/>
          <w:bCs w:val="0"/>
          <w:sz w:val="24"/>
          <w:szCs w:val="24"/>
        </w:rPr>
        <w:t>临床医生、临床护理、医技科室绩效考核方案设计</w:t>
      </w:r>
      <w:bookmarkEnd w:id="4"/>
      <w:bookmarkEnd w:id="5"/>
      <w:r>
        <w:rPr>
          <w:rFonts w:hint="eastAsia" w:ascii="楷体" w:hAnsi="楷体" w:eastAsia="楷体" w:cs="楷体"/>
          <w:b w:val="0"/>
          <w:bCs w:val="0"/>
          <w:sz w:val="24"/>
          <w:szCs w:val="24"/>
          <w:lang w:eastAsia="zh-Hans"/>
        </w:rPr>
        <w:t>要求</w:t>
      </w:r>
      <w:bookmarkEnd w:id="6"/>
    </w:p>
    <w:p w14:paraId="47D724E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依据 RBRVS</w:t>
      </w:r>
      <w:r>
        <w:rPr>
          <w:rFonts w:hint="eastAsia" w:ascii="方正仿宋_GB2312" w:hAnsi="方正仿宋_GB2312" w:eastAsia="方正仿宋_GB2312" w:cs="方正仿宋_GB2312"/>
          <w:sz w:val="24"/>
          <w:szCs w:val="24"/>
          <w:lang w:val="en-US" w:eastAsia="zh-CN"/>
        </w:rPr>
        <w:t>将</w:t>
      </w:r>
      <w:r>
        <w:rPr>
          <w:rFonts w:hint="eastAsia" w:ascii="方正仿宋_GB2312" w:hAnsi="方正仿宋_GB2312" w:eastAsia="方正仿宋_GB2312" w:cs="方正仿宋_GB2312"/>
          <w:sz w:val="24"/>
          <w:szCs w:val="24"/>
        </w:rPr>
        <w:t>全院医疗收费项目价格转换为绩效点数，作为衡量医师、护理、医技人员工作量的基准。同时方案中应体现服务量因素，</w:t>
      </w:r>
      <w:r>
        <w:rPr>
          <w:rFonts w:hint="eastAsia" w:ascii="方正仿宋_GB2312" w:hAnsi="方正仿宋_GB2312" w:eastAsia="方正仿宋_GB2312" w:cs="方正仿宋_GB2312"/>
          <w:sz w:val="24"/>
          <w:szCs w:val="24"/>
          <w:lang w:val="en-US" w:eastAsia="zh-CN"/>
        </w:rPr>
        <w:t>将</w:t>
      </w:r>
      <w:r>
        <w:rPr>
          <w:rFonts w:hint="eastAsia" w:ascii="方正仿宋_GB2312" w:hAnsi="方正仿宋_GB2312" w:eastAsia="方正仿宋_GB2312" w:cs="方正仿宋_GB2312"/>
          <w:sz w:val="24"/>
          <w:szCs w:val="24"/>
        </w:rPr>
        <w:t>门诊人次、出院人次、手术人次、占床日数、检查化验人次等量化为绩效点数。</w:t>
      </w:r>
      <w:r>
        <w:rPr>
          <w:rFonts w:hint="eastAsia" w:ascii="方正仿宋_GB2312" w:hAnsi="方正仿宋_GB2312" w:eastAsia="方正仿宋_GB2312" w:cs="方正仿宋_GB2312"/>
          <w:sz w:val="24"/>
          <w:szCs w:val="24"/>
          <w:lang w:val="en-US" w:eastAsia="zh-CN"/>
        </w:rPr>
        <w:t>建立</w:t>
      </w:r>
      <w:r>
        <w:rPr>
          <w:rFonts w:hint="eastAsia" w:ascii="方正仿宋_GB2312" w:hAnsi="方正仿宋_GB2312" w:eastAsia="方正仿宋_GB2312" w:cs="方正仿宋_GB2312"/>
          <w:sz w:val="24"/>
          <w:szCs w:val="24"/>
        </w:rPr>
        <w:t>临床、护理、医技等可执行 RBRVS 的核算单元</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分别进行绩效工资核算。医生绩效工资可按医疗组分配。对各护理单元</w:t>
      </w:r>
      <w:r>
        <w:rPr>
          <w:rFonts w:hint="eastAsia" w:ascii="方正仿宋_GB2312" w:hAnsi="方正仿宋_GB2312" w:eastAsia="方正仿宋_GB2312" w:cs="方正仿宋_GB2312"/>
          <w:sz w:val="24"/>
          <w:szCs w:val="24"/>
          <w:lang w:val="en-US" w:eastAsia="zh-CN"/>
        </w:rPr>
        <w:t>应</w:t>
      </w:r>
      <w:r>
        <w:rPr>
          <w:rFonts w:hint="eastAsia" w:ascii="方正仿宋_GB2312" w:hAnsi="方正仿宋_GB2312" w:eastAsia="方正仿宋_GB2312" w:cs="方正仿宋_GB2312"/>
          <w:sz w:val="24"/>
          <w:szCs w:val="24"/>
        </w:rPr>
        <w:t>有客观评价方案和方法，确定护理单元之间的劳动差别。方案中应设计体现医护分开后仍能保持医、护之间高效合作的方法，方法具有可操作性和公平性。方案中应体现临床医生在研判分析检查、检验结果的劳动付出，但不能以检查和检验项目的收入衡量医务人员的劳动付出。</w:t>
      </w:r>
    </w:p>
    <w:p w14:paraId="23AEB87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各核算单元实行“院科（组）两级分配制度”，科室（医疗组）两级分配由科主任（医疗组长）、护士长负责，科</w:t>
      </w:r>
      <w:bookmarkStart w:id="7" w:name="page39"/>
      <w:bookmarkEnd w:id="7"/>
      <w:r>
        <w:rPr>
          <w:rFonts w:hint="eastAsia" w:ascii="方正仿宋_GB2312" w:hAnsi="方正仿宋_GB2312" w:eastAsia="方正仿宋_GB2312" w:cs="方正仿宋_GB2312"/>
          <w:sz w:val="24"/>
          <w:szCs w:val="24"/>
        </w:rPr>
        <w:t>（医疗组）内分配至个人，上交绩效管理部门核准，再由财务</w:t>
      </w:r>
      <w:r>
        <w:rPr>
          <w:rFonts w:hint="eastAsia" w:ascii="方正仿宋_GB2312" w:hAnsi="方正仿宋_GB2312" w:eastAsia="方正仿宋_GB2312" w:cs="方正仿宋_GB2312"/>
          <w:sz w:val="24"/>
          <w:szCs w:val="24"/>
          <w:lang w:val="en-US" w:eastAsia="zh-CN"/>
        </w:rPr>
        <w:t>部</w:t>
      </w:r>
      <w:r>
        <w:rPr>
          <w:rFonts w:hint="eastAsia" w:ascii="方正仿宋_GB2312" w:hAnsi="方正仿宋_GB2312" w:eastAsia="方正仿宋_GB2312" w:cs="方正仿宋_GB2312"/>
          <w:sz w:val="24"/>
          <w:szCs w:val="24"/>
        </w:rPr>
        <w:t>发放到个人。</w:t>
      </w:r>
    </w:p>
    <w:p w14:paraId="00E74FD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cs="楷体"/>
          <w:b w:val="0"/>
          <w:bCs w:val="0"/>
          <w:sz w:val="24"/>
          <w:szCs w:val="24"/>
          <w:lang w:val="en-US" w:eastAsia="zh-CN"/>
        </w:rPr>
      </w:pPr>
      <w:bookmarkStart w:id="8" w:name="_Toc895023906"/>
      <w:bookmarkStart w:id="9" w:name="_Toc220076486"/>
      <w:bookmarkStart w:id="10" w:name="_Toc132287485"/>
      <w:r>
        <w:rPr>
          <w:rFonts w:hint="eastAsia" w:ascii="楷体" w:hAnsi="楷体" w:eastAsia="楷体" w:cs="楷体"/>
          <w:b w:val="0"/>
          <w:bCs w:val="0"/>
          <w:sz w:val="24"/>
          <w:szCs w:val="24"/>
          <w:lang w:val="en-US" w:eastAsia="zh-CN"/>
        </w:rPr>
        <w:t>2.2医疗辅助类、药学、挂号收费、供应室等科室绩效评价方案设计</w:t>
      </w:r>
      <w:bookmarkEnd w:id="8"/>
      <w:bookmarkEnd w:id="9"/>
      <w:bookmarkEnd w:id="10"/>
    </w:p>
    <w:p w14:paraId="44EF0E8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对窗口和供应室等类型的科室，根据历史绩效水平和工作量，利用6-12个月的数据</w:t>
      </w:r>
      <w:r>
        <w:rPr>
          <w:rFonts w:hint="eastAsia" w:ascii="方正仿宋_GB2312" w:hAnsi="方正仿宋_GB2312" w:eastAsia="方正仿宋_GB2312" w:cs="方正仿宋_GB2312"/>
          <w:sz w:val="24"/>
          <w:szCs w:val="24"/>
          <w:lang w:val="en-US" w:eastAsia="zh-CN"/>
        </w:rPr>
        <w:t>进行</w:t>
      </w:r>
      <w:r>
        <w:rPr>
          <w:rFonts w:hint="eastAsia" w:ascii="方正仿宋_GB2312" w:hAnsi="方正仿宋_GB2312" w:eastAsia="方正仿宋_GB2312" w:cs="方正仿宋_GB2312"/>
          <w:sz w:val="24"/>
          <w:szCs w:val="24"/>
        </w:rPr>
        <w:t>回归测算，测定每个工作项目（无医疗项目收费）的点数和点价格，并充分考虑与医护技科室的绩效工资水平差距，</w:t>
      </w:r>
      <w:r>
        <w:rPr>
          <w:rFonts w:hint="eastAsia" w:ascii="方正仿宋_GB2312" w:hAnsi="方正仿宋_GB2312" w:eastAsia="方正仿宋_GB2312" w:cs="方正仿宋_GB2312"/>
          <w:sz w:val="24"/>
          <w:szCs w:val="24"/>
          <w:lang w:val="en-US" w:eastAsia="zh-CN"/>
        </w:rPr>
        <w:t>在</w:t>
      </w:r>
      <w:r>
        <w:rPr>
          <w:rFonts w:hint="eastAsia" w:ascii="方正仿宋_GB2312" w:hAnsi="方正仿宋_GB2312" w:eastAsia="方正仿宋_GB2312" w:cs="方正仿宋_GB2312"/>
          <w:sz w:val="24"/>
          <w:szCs w:val="24"/>
        </w:rPr>
        <w:t>尊重历史绩效工资水平</w:t>
      </w:r>
      <w:r>
        <w:rPr>
          <w:rFonts w:hint="eastAsia" w:ascii="方正仿宋_GB2312" w:hAnsi="方正仿宋_GB2312" w:eastAsia="方正仿宋_GB2312" w:cs="方正仿宋_GB2312"/>
          <w:sz w:val="24"/>
          <w:szCs w:val="24"/>
          <w:lang w:val="en-US" w:eastAsia="zh-CN"/>
        </w:rPr>
        <w:t>的基础上进行</w:t>
      </w:r>
      <w:r>
        <w:rPr>
          <w:rFonts w:hint="eastAsia" w:ascii="方正仿宋_GB2312" w:hAnsi="方正仿宋_GB2312" w:eastAsia="方正仿宋_GB2312" w:cs="方正仿宋_GB2312"/>
          <w:sz w:val="24"/>
          <w:szCs w:val="24"/>
        </w:rPr>
        <w:t>合理分配。</w:t>
      </w:r>
    </w:p>
    <w:p w14:paraId="220D0A9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cs="楷体"/>
          <w:b w:val="0"/>
          <w:bCs w:val="0"/>
          <w:sz w:val="24"/>
          <w:szCs w:val="24"/>
          <w:lang w:val="en-US" w:eastAsia="zh-CN"/>
        </w:rPr>
      </w:pPr>
      <w:bookmarkStart w:id="11" w:name="_Toc132287486"/>
      <w:bookmarkStart w:id="12" w:name="_Toc1691324554"/>
      <w:bookmarkStart w:id="13" w:name="_Toc220076487"/>
      <w:r>
        <w:rPr>
          <w:rFonts w:hint="eastAsia" w:ascii="楷体" w:hAnsi="楷体" w:eastAsia="楷体" w:cs="楷体"/>
          <w:b w:val="0"/>
          <w:bCs w:val="0"/>
          <w:sz w:val="24"/>
          <w:szCs w:val="24"/>
          <w:lang w:val="en-US" w:eastAsia="zh-CN"/>
        </w:rPr>
        <w:t>2.3手术等专项绩效评价方案设计</w:t>
      </w:r>
      <w:bookmarkEnd w:id="11"/>
      <w:bookmarkEnd w:id="12"/>
      <w:r>
        <w:rPr>
          <w:rFonts w:hint="eastAsia" w:ascii="楷体" w:hAnsi="楷体" w:eastAsia="楷体" w:cs="楷体"/>
          <w:b w:val="0"/>
          <w:bCs w:val="0"/>
          <w:sz w:val="24"/>
          <w:szCs w:val="24"/>
          <w:lang w:val="en-US" w:eastAsia="zh-Hans"/>
        </w:rPr>
        <w:t>要求</w:t>
      </w:r>
      <w:bookmarkEnd w:id="13"/>
    </w:p>
    <w:p w14:paraId="695C14F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根据医院实际情况，对手术进行单项绩效评价方案设计，</w:t>
      </w:r>
      <w:r>
        <w:rPr>
          <w:rFonts w:hint="eastAsia" w:ascii="方正仿宋_GB2312" w:hAnsi="方正仿宋_GB2312" w:eastAsia="方正仿宋_GB2312" w:cs="方正仿宋_GB2312"/>
          <w:sz w:val="24"/>
          <w:szCs w:val="24"/>
          <w:lang w:val="en-US" w:eastAsia="zh-CN"/>
        </w:rPr>
        <w:t>根据</w:t>
      </w:r>
      <w:r>
        <w:rPr>
          <w:rFonts w:hint="eastAsia" w:ascii="方正仿宋_GB2312" w:hAnsi="方正仿宋_GB2312" w:eastAsia="方正仿宋_GB2312" w:cs="方正仿宋_GB2312"/>
          <w:sz w:val="24"/>
          <w:szCs w:val="24"/>
        </w:rPr>
        <w:t>历史数据和医院预期，针对不同科室类型</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疾病复杂程度</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服务人次等情况，进行基数测定，</w:t>
      </w:r>
      <w:r>
        <w:rPr>
          <w:rFonts w:hint="eastAsia" w:ascii="方正仿宋_GB2312" w:hAnsi="方正仿宋_GB2312" w:eastAsia="方正仿宋_GB2312" w:cs="方正仿宋_GB2312"/>
          <w:sz w:val="24"/>
          <w:szCs w:val="24"/>
          <w:lang w:val="en-US" w:eastAsia="zh-CN"/>
        </w:rPr>
        <w:t>并从</w:t>
      </w:r>
      <w:r>
        <w:rPr>
          <w:rFonts w:hint="eastAsia" w:ascii="方正仿宋_GB2312" w:hAnsi="方正仿宋_GB2312" w:eastAsia="方正仿宋_GB2312" w:cs="方正仿宋_GB2312"/>
          <w:sz w:val="24"/>
          <w:szCs w:val="24"/>
        </w:rPr>
        <w:t>手术难度和台次等维度进行增量评价和激励。</w:t>
      </w:r>
    </w:p>
    <w:p w14:paraId="7BE85E3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cs="楷体"/>
          <w:b w:val="0"/>
          <w:bCs w:val="0"/>
          <w:sz w:val="24"/>
          <w:szCs w:val="24"/>
          <w:lang w:val="en-US" w:eastAsia="zh-CN"/>
        </w:rPr>
      </w:pPr>
      <w:bookmarkStart w:id="14" w:name="_Toc1858404716"/>
      <w:bookmarkStart w:id="15" w:name="_Toc220076488"/>
      <w:bookmarkStart w:id="16" w:name="_Toc132287488"/>
      <w:r>
        <w:rPr>
          <w:rFonts w:hint="eastAsia" w:ascii="楷体" w:hAnsi="楷体" w:eastAsia="楷体" w:cs="楷体"/>
          <w:b w:val="0"/>
          <w:bCs w:val="0"/>
          <w:sz w:val="24"/>
          <w:szCs w:val="24"/>
          <w:lang w:val="en-US" w:eastAsia="zh-CN"/>
        </w:rPr>
        <w:t>2.4公共卫生职能科室绩效评价方案设计</w:t>
      </w:r>
    </w:p>
    <w:p w14:paraId="074494C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微软雅黑" w:hAnsi="微软雅黑" w:eastAsia="微软雅黑" w:cs="微软雅黑"/>
          <w:sz w:val="24"/>
          <w:szCs w:val="24"/>
          <w:lang w:val="en-US" w:eastAsia="zh-CN"/>
        </w:rPr>
      </w:pPr>
      <w:r>
        <w:rPr>
          <w:rFonts w:hint="eastAsia" w:ascii="方正仿宋_GB2312" w:hAnsi="方正仿宋_GB2312" w:eastAsia="方正仿宋_GB2312" w:cs="方正仿宋_GB2312"/>
          <w:sz w:val="24"/>
          <w:szCs w:val="24"/>
        </w:rPr>
        <w:t>根据医院实际情况，对</w:t>
      </w:r>
      <w:r>
        <w:rPr>
          <w:rFonts w:hint="eastAsia" w:ascii="方正仿宋_GB2312" w:hAnsi="方正仿宋_GB2312" w:eastAsia="方正仿宋_GB2312" w:cs="方正仿宋_GB2312"/>
          <w:sz w:val="24"/>
          <w:szCs w:val="24"/>
          <w:lang w:eastAsia="zh-CN"/>
        </w:rPr>
        <w:t>公共卫生职能科室</w:t>
      </w:r>
      <w:r>
        <w:rPr>
          <w:rFonts w:hint="eastAsia" w:ascii="方正仿宋_GB2312" w:hAnsi="方正仿宋_GB2312" w:eastAsia="方正仿宋_GB2312" w:cs="方正仿宋_GB2312"/>
          <w:sz w:val="24"/>
          <w:szCs w:val="24"/>
        </w:rPr>
        <w:t>进行绩效评价方案设计，利用历史数据，</w:t>
      </w:r>
      <w:r>
        <w:rPr>
          <w:rFonts w:hint="eastAsia" w:ascii="方正仿宋_GB2312" w:hAnsi="方正仿宋_GB2312" w:eastAsia="方正仿宋_GB2312" w:cs="方正仿宋_GB2312"/>
          <w:sz w:val="24"/>
          <w:szCs w:val="24"/>
          <w:lang w:val="en-US" w:eastAsia="zh-CN"/>
        </w:rPr>
        <w:t>在</w:t>
      </w:r>
      <w:r>
        <w:rPr>
          <w:rFonts w:hint="eastAsia" w:ascii="方正仿宋_GB2312" w:hAnsi="方正仿宋_GB2312" w:eastAsia="方正仿宋_GB2312" w:cs="方正仿宋_GB2312"/>
          <w:sz w:val="24"/>
          <w:szCs w:val="24"/>
        </w:rPr>
        <w:t>管理效能、服务质量、应急能力、协同保障</w:t>
      </w:r>
      <w:r>
        <w:rPr>
          <w:rFonts w:hint="eastAsia" w:ascii="方正仿宋_GB2312" w:hAnsi="方正仿宋_GB2312" w:eastAsia="方正仿宋_GB2312" w:cs="方正仿宋_GB2312"/>
          <w:sz w:val="24"/>
          <w:szCs w:val="24"/>
          <w:lang w:val="en-US" w:eastAsia="zh-CN"/>
        </w:rPr>
        <w:t>等方面进行强化</w:t>
      </w:r>
      <w:r>
        <w:rPr>
          <w:rFonts w:hint="eastAsia" w:ascii="方正仿宋_GB2312" w:hAnsi="方正仿宋_GB2312" w:eastAsia="方正仿宋_GB2312" w:cs="方正仿宋_GB2312"/>
          <w:sz w:val="24"/>
          <w:szCs w:val="24"/>
        </w:rPr>
        <w:t>，落实国家基本公卫与重大公卫项目，推动医防融合与高质量发展</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针对不同科室类型</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服务人次等情况，进行基数测定，</w:t>
      </w:r>
      <w:r>
        <w:rPr>
          <w:rFonts w:hint="eastAsia" w:ascii="方正仿宋_GB2312" w:hAnsi="方正仿宋_GB2312" w:eastAsia="方正仿宋_GB2312" w:cs="方正仿宋_GB2312"/>
          <w:sz w:val="24"/>
          <w:szCs w:val="24"/>
          <w:lang w:eastAsia="zh-CN"/>
        </w:rPr>
        <w:t>对项目执行、工作量</w:t>
      </w:r>
      <w:r>
        <w:rPr>
          <w:rFonts w:hint="eastAsia" w:ascii="方正仿宋_GB2312" w:hAnsi="方正仿宋_GB2312" w:eastAsia="方正仿宋_GB2312" w:cs="方正仿宋_GB2312"/>
          <w:sz w:val="24"/>
          <w:szCs w:val="24"/>
          <w:lang w:val="en-US" w:eastAsia="zh-CN"/>
        </w:rPr>
        <w:t>及</w:t>
      </w:r>
      <w:r>
        <w:rPr>
          <w:rFonts w:hint="eastAsia" w:ascii="方正仿宋_GB2312" w:hAnsi="方正仿宋_GB2312" w:eastAsia="方正仿宋_GB2312" w:cs="方正仿宋_GB2312"/>
          <w:sz w:val="24"/>
          <w:szCs w:val="24"/>
          <w:lang w:eastAsia="zh-CN"/>
        </w:rPr>
        <w:t>质量安全等</w:t>
      </w:r>
      <w:r>
        <w:rPr>
          <w:rFonts w:hint="eastAsia" w:ascii="方正仿宋_GB2312" w:hAnsi="方正仿宋_GB2312" w:eastAsia="方正仿宋_GB2312" w:cs="方正仿宋_GB2312"/>
          <w:sz w:val="24"/>
          <w:szCs w:val="24"/>
        </w:rPr>
        <w:t>进行评价和激励。</w:t>
      </w:r>
    </w:p>
    <w:p w14:paraId="0C9D97A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2.5科室直接成本管控方案设计</w:t>
      </w:r>
      <w:bookmarkEnd w:id="14"/>
      <w:bookmarkEnd w:id="15"/>
      <w:bookmarkEnd w:id="16"/>
    </w:p>
    <w:p w14:paraId="14CFE3E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微软雅黑" w:hAnsi="微软雅黑" w:eastAsia="微软雅黑" w:cs="微软雅黑"/>
          <w:sz w:val="24"/>
          <w:szCs w:val="24"/>
        </w:rPr>
      </w:pPr>
      <w:r>
        <w:rPr>
          <w:rFonts w:hint="eastAsia" w:ascii="方正仿宋_GB2312" w:hAnsi="方正仿宋_GB2312" w:eastAsia="方正仿宋_GB2312" w:cs="方正仿宋_GB2312"/>
          <w:sz w:val="24"/>
          <w:szCs w:val="24"/>
        </w:rPr>
        <w:t>所有核算单元以直接成本</w:t>
      </w:r>
      <w:r>
        <w:rPr>
          <w:rFonts w:hint="eastAsia" w:ascii="方正仿宋_GB2312" w:hAnsi="方正仿宋_GB2312" w:eastAsia="方正仿宋_GB2312" w:cs="方正仿宋_GB2312"/>
          <w:sz w:val="24"/>
          <w:szCs w:val="24"/>
          <w:lang w:val="en-US" w:eastAsia="zh-CN"/>
        </w:rPr>
        <w:t>作</w:t>
      </w:r>
      <w:r>
        <w:rPr>
          <w:rFonts w:hint="eastAsia" w:ascii="方正仿宋_GB2312" w:hAnsi="方正仿宋_GB2312" w:eastAsia="方正仿宋_GB2312" w:cs="方正仿宋_GB2312"/>
          <w:sz w:val="24"/>
          <w:szCs w:val="24"/>
        </w:rPr>
        <w:t>为管理口径，绩效方案设计要把直接成本全部纳入绩效工资核算管理，包含房屋折旧、人力成本、设备折旧等直接固定成本，卫生材料、药品、办公用品、医辅部门发生的费用等直接变动成本。同时应把医院现有的物流系统卫生材料区分为可收费和不可收费两部分，在此基础上再区分为高值耗材与低值耗材两部分进行成本管控，达到精细化成本管理的目的。</w:t>
      </w:r>
    </w:p>
    <w:p w14:paraId="0666963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cs="楷体"/>
          <w:b w:val="0"/>
          <w:bCs w:val="0"/>
          <w:sz w:val="24"/>
          <w:szCs w:val="24"/>
          <w:lang w:val="en-US" w:eastAsia="zh-CN"/>
        </w:rPr>
      </w:pPr>
      <w:bookmarkStart w:id="17" w:name="_Toc132287489"/>
      <w:bookmarkStart w:id="18" w:name="_Toc1205899844"/>
      <w:bookmarkStart w:id="19" w:name="_Toc220076489"/>
      <w:r>
        <w:rPr>
          <w:rFonts w:hint="eastAsia" w:ascii="楷体" w:hAnsi="楷体" w:eastAsia="楷体" w:cs="楷体"/>
          <w:b w:val="0"/>
          <w:bCs w:val="0"/>
          <w:sz w:val="24"/>
          <w:szCs w:val="24"/>
          <w:lang w:val="en-US" w:eastAsia="zh-CN"/>
        </w:rPr>
        <w:t>2.6核算单元嵌入关键考核指标方案</w:t>
      </w:r>
      <w:bookmarkEnd w:id="17"/>
      <w:bookmarkEnd w:id="18"/>
      <w:bookmarkEnd w:id="19"/>
    </w:p>
    <w:p w14:paraId="1E8C526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微软雅黑" w:hAnsi="微软雅黑" w:eastAsia="微软雅黑" w:cs="微软雅黑"/>
          <w:sz w:val="24"/>
          <w:szCs w:val="24"/>
        </w:rPr>
      </w:pPr>
      <w:r>
        <w:rPr>
          <w:rFonts w:hint="eastAsia" w:ascii="方正仿宋_GB2312" w:hAnsi="方正仿宋_GB2312" w:eastAsia="方正仿宋_GB2312" w:cs="方正仿宋_GB2312"/>
          <w:sz w:val="24"/>
          <w:szCs w:val="24"/>
        </w:rPr>
        <w:t>对各核算单元的嵌入关键考核指标，提供指导意见。可以为全院各类别科室设计基于KPI的关键业绩指标绩效考核方案，要求考核项符合“SMART”原则，考核负责人</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考核周期</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数据提供</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考核标准</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得分方法</w:t>
      </w:r>
      <w:r>
        <w:rPr>
          <w:rFonts w:hint="eastAsia" w:ascii="方正仿宋_GB2312" w:hAnsi="方正仿宋_GB2312" w:eastAsia="方正仿宋_GB2312" w:cs="方正仿宋_GB2312"/>
          <w:sz w:val="24"/>
          <w:szCs w:val="24"/>
          <w:lang w:val="en-US" w:eastAsia="zh-CN"/>
        </w:rPr>
        <w:t>需</w:t>
      </w:r>
      <w:r>
        <w:rPr>
          <w:rFonts w:hint="eastAsia" w:ascii="方正仿宋_GB2312" w:hAnsi="方正仿宋_GB2312" w:eastAsia="方正仿宋_GB2312" w:cs="方正仿宋_GB2312"/>
          <w:sz w:val="24"/>
          <w:szCs w:val="24"/>
        </w:rPr>
        <w:t>清晰准确。</w:t>
      </w:r>
    </w:p>
    <w:p w14:paraId="084325B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cs="楷体"/>
          <w:b w:val="0"/>
          <w:bCs w:val="0"/>
          <w:sz w:val="24"/>
          <w:szCs w:val="24"/>
          <w:lang w:val="en-US" w:eastAsia="zh-CN"/>
        </w:rPr>
      </w:pPr>
      <w:bookmarkStart w:id="20" w:name="_Toc1755501369"/>
      <w:bookmarkStart w:id="21" w:name="_Toc132287490"/>
      <w:bookmarkStart w:id="22" w:name="_Toc220076490"/>
      <w:r>
        <w:rPr>
          <w:rFonts w:hint="eastAsia" w:ascii="楷体" w:hAnsi="楷体" w:eastAsia="楷体" w:cs="楷体"/>
          <w:b w:val="0"/>
          <w:bCs w:val="0"/>
          <w:sz w:val="24"/>
          <w:szCs w:val="24"/>
          <w:lang w:val="en-US" w:eastAsia="zh-CN"/>
        </w:rPr>
        <w:t>2.7科室二次分配指导意见方案设计</w:t>
      </w:r>
      <w:bookmarkEnd w:id="20"/>
      <w:bookmarkEnd w:id="21"/>
      <w:bookmarkEnd w:id="22"/>
    </w:p>
    <w:p w14:paraId="130AE2E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微软雅黑" w:hAnsi="微软雅黑" w:eastAsia="微软雅黑" w:cs="微软雅黑"/>
          <w:sz w:val="24"/>
          <w:szCs w:val="24"/>
        </w:rPr>
      </w:pPr>
      <w:r>
        <w:rPr>
          <w:rFonts w:hint="eastAsia" w:ascii="方正仿宋_GB2312" w:hAnsi="方正仿宋_GB2312" w:eastAsia="方正仿宋_GB2312" w:cs="方正仿宋_GB2312"/>
          <w:sz w:val="24"/>
          <w:szCs w:val="24"/>
        </w:rPr>
        <w:t>提供</w:t>
      </w:r>
      <w:r>
        <w:rPr>
          <w:rFonts w:hint="eastAsia" w:ascii="方正仿宋_GB2312" w:hAnsi="方正仿宋_GB2312" w:eastAsia="方正仿宋_GB2312" w:cs="方正仿宋_GB2312"/>
          <w:sz w:val="24"/>
          <w:szCs w:val="24"/>
          <w:lang w:eastAsia="zh-CN"/>
        </w:rPr>
        <w:t>科室</w:t>
      </w:r>
      <w:r>
        <w:rPr>
          <w:rFonts w:hint="eastAsia" w:ascii="方正仿宋_GB2312" w:hAnsi="方正仿宋_GB2312" w:eastAsia="方正仿宋_GB2312" w:cs="方正仿宋_GB2312"/>
          <w:sz w:val="24"/>
          <w:szCs w:val="24"/>
        </w:rPr>
        <w:t>二次分配指导意见方案。</w:t>
      </w:r>
      <w:r>
        <w:rPr>
          <w:rFonts w:hint="eastAsia" w:ascii="方正仿宋_GB2312" w:hAnsi="方正仿宋_GB2312" w:eastAsia="方正仿宋_GB2312" w:cs="方正仿宋_GB2312"/>
          <w:sz w:val="24"/>
          <w:szCs w:val="24"/>
          <w:lang w:val="en-US" w:eastAsia="zh-CN"/>
        </w:rPr>
        <w:t>对</w:t>
      </w:r>
      <w:r>
        <w:rPr>
          <w:rFonts w:hint="eastAsia" w:ascii="方正仿宋_GB2312" w:hAnsi="方正仿宋_GB2312" w:eastAsia="方正仿宋_GB2312" w:cs="方正仿宋_GB2312"/>
          <w:sz w:val="24"/>
          <w:szCs w:val="24"/>
        </w:rPr>
        <w:t>各核算单元</w:t>
      </w:r>
      <w:r>
        <w:rPr>
          <w:rFonts w:hint="eastAsia" w:ascii="方正仿宋_GB2312" w:hAnsi="方正仿宋_GB2312" w:eastAsia="方正仿宋_GB2312" w:cs="方正仿宋_GB2312"/>
          <w:sz w:val="24"/>
          <w:szCs w:val="24"/>
          <w:lang w:val="en-US" w:eastAsia="zh-CN"/>
        </w:rPr>
        <w:t>的指导需</w:t>
      </w:r>
      <w:r>
        <w:rPr>
          <w:rFonts w:hint="eastAsia" w:ascii="方正仿宋_GB2312" w:hAnsi="方正仿宋_GB2312" w:eastAsia="方正仿宋_GB2312" w:cs="方正仿宋_GB2312"/>
          <w:sz w:val="24"/>
          <w:szCs w:val="24"/>
        </w:rPr>
        <w:t>基于本方案指导意见，综合考虑工作量、工作质量、贡献程度、岗位、风险、职称等因素</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制定符合本核算单元实际情况的二次分配方案，避免平均分配。各科室可通过软件系统把二次分配方案上传至绩效管理部门、财务部门，</w:t>
      </w:r>
      <w:r>
        <w:rPr>
          <w:rFonts w:hint="eastAsia" w:ascii="方正仿宋_GB2312" w:hAnsi="方正仿宋_GB2312" w:eastAsia="方正仿宋_GB2312" w:cs="方正仿宋_GB2312"/>
          <w:sz w:val="24"/>
          <w:szCs w:val="24"/>
          <w:lang w:val="en-US" w:eastAsia="zh-CN"/>
        </w:rPr>
        <w:t>经</w:t>
      </w:r>
      <w:r>
        <w:rPr>
          <w:rFonts w:hint="eastAsia" w:ascii="方正仿宋_GB2312" w:hAnsi="方正仿宋_GB2312" w:eastAsia="方正仿宋_GB2312" w:cs="方正仿宋_GB2312"/>
          <w:sz w:val="24"/>
          <w:szCs w:val="24"/>
        </w:rPr>
        <w:t>审核后发放。</w:t>
      </w:r>
    </w:p>
    <w:p w14:paraId="23B08B3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cs="楷体"/>
          <w:b w:val="0"/>
          <w:bCs w:val="0"/>
          <w:sz w:val="24"/>
          <w:szCs w:val="24"/>
          <w:lang w:val="en-US" w:eastAsia="zh-CN"/>
        </w:rPr>
      </w:pPr>
      <w:bookmarkStart w:id="23" w:name="_Toc132287491"/>
      <w:bookmarkStart w:id="24" w:name="_Toc220076491"/>
      <w:bookmarkStart w:id="25" w:name="_Toc344800632"/>
      <w:bookmarkStart w:id="26" w:name="_Toc132287493"/>
      <w:r>
        <w:rPr>
          <w:rFonts w:hint="eastAsia" w:ascii="楷体" w:hAnsi="楷体" w:eastAsia="楷体" w:cs="楷体"/>
          <w:b w:val="0"/>
          <w:bCs w:val="0"/>
          <w:sz w:val="24"/>
          <w:szCs w:val="24"/>
          <w:lang w:val="en-US" w:eastAsia="zh-CN"/>
        </w:rPr>
        <w:t>2.8 DRG绩效方案设计</w:t>
      </w:r>
      <w:bookmarkEnd w:id="23"/>
      <w:bookmarkEnd w:id="24"/>
    </w:p>
    <w:p w14:paraId="46D8C29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微软雅黑" w:hAnsi="微软雅黑" w:eastAsia="微软雅黑" w:cs="微软雅黑"/>
          <w:sz w:val="24"/>
          <w:szCs w:val="24"/>
        </w:rPr>
      </w:pPr>
      <w:r>
        <w:rPr>
          <w:rFonts w:hint="eastAsia" w:ascii="方正仿宋_GB2312" w:hAnsi="方正仿宋_GB2312" w:eastAsia="方正仿宋_GB2312" w:cs="方正仿宋_GB2312"/>
          <w:sz w:val="24"/>
          <w:szCs w:val="24"/>
        </w:rPr>
        <w:t>利用DRG测算结果结合RBRVS工作量进行绩效核算，将DRG病历组合指数CMI值纳入RBRVS绩效核算，利用时间和费用消耗指数、低风险组死亡率、总权重RW、入组病例数、CMI值、总权等指标对医疗服务效率、均衡发展、医疗服务能力和质量安全等方面</w:t>
      </w:r>
      <w:r>
        <w:rPr>
          <w:rFonts w:hint="eastAsia" w:ascii="方正仿宋_GB2312" w:hAnsi="方正仿宋_GB2312" w:eastAsia="方正仿宋_GB2312" w:cs="方正仿宋_GB2312"/>
          <w:sz w:val="24"/>
          <w:szCs w:val="24"/>
          <w:lang w:val="en-US" w:eastAsia="zh-CN"/>
        </w:rPr>
        <w:t>进行</w:t>
      </w:r>
      <w:r>
        <w:rPr>
          <w:rFonts w:hint="eastAsia" w:ascii="方正仿宋_GB2312" w:hAnsi="方正仿宋_GB2312" w:eastAsia="方正仿宋_GB2312" w:cs="方正仿宋_GB2312"/>
          <w:sz w:val="24"/>
          <w:szCs w:val="24"/>
        </w:rPr>
        <w:t>评价</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lang w:val="en-US" w:eastAsia="zh-CN"/>
        </w:rPr>
        <w:t>评价结果</w:t>
      </w:r>
      <w:r>
        <w:rPr>
          <w:rFonts w:hint="eastAsia" w:ascii="方正仿宋_GB2312" w:hAnsi="方正仿宋_GB2312" w:eastAsia="方正仿宋_GB2312" w:cs="方正仿宋_GB2312"/>
          <w:sz w:val="24"/>
          <w:szCs w:val="24"/>
        </w:rPr>
        <w:t>与</w:t>
      </w:r>
      <w:r>
        <w:rPr>
          <w:rFonts w:hint="eastAsia" w:ascii="方正仿宋_GB2312" w:hAnsi="方正仿宋_GB2312" w:eastAsia="方正仿宋_GB2312" w:cs="方正仿宋_GB2312"/>
          <w:sz w:val="24"/>
          <w:szCs w:val="24"/>
          <w:lang w:val="en-US" w:eastAsia="zh-CN"/>
        </w:rPr>
        <w:t>绩效</w:t>
      </w:r>
      <w:r>
        <w:rPr>
          <w:rFonts w:hint="eastAsia" w:ascii="方正仿宋_GB2312" w:hAnsi="方正仿宋_GB2312" w:eastAsia="方正仿宋_GB2312" w:cs="方正仿宋_GB2312"/>
          <w:sz w:val="24"/>
          <w:szCs w:val="24"/>
        </w:rPr>
        <w:t>考核挂钩。</w:t>
      </w:r>
    </w:p>
    <w:bookmarkEnd w:id="25"/>
    <w:bookmarkEnd w:id="26"/>
    <w:p w14:paraId="2398692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cs="楷体"/>
          <w:b w:val="0"/>
          <w:bCs w:val="0"/>
          <w:sz w:val="24"/>
          <w:szCs w:val="24"/>
          <w:lang w:val="en-US" w:eastAsia="zh-CN"/>
        </w:rPr>
      </w:pPr>
      <w:bookmarkStart w:id="27" w:name="_Toc1311891436"/>
      <w:bookmarkStart w:id="28" w:name="_Toc220076492"/>
      <w:r>
        <w:rPr>
          <w:rFonts w:hint="eastAsia" w:ascii="楷体" w:hAnsi="楷体" w:eastAsia="楷体" w:cs="楷体"/>
          <w:b w:val="0"/>
          <w:bCs w:val="0"/>
          <w:sz w:val="24"/>
          <w:szCs w:val="24"/>
          <w:lang w:val="en-US" w:eastAsia="zh-CN"/>
        </w:rPr>
        <w:t>2.9三级公立医院绩效监测方案设计</w:t>
      </w:r>
      <w:bookmarkEnd w:id="27"/>
      <w:bookmarkEnd w:id="28"/>
    </w:p>
    <w:p w14:paraId="2906A66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微软雅黑" w:hAnsi="微软雅黑" w:eastAsia="微软雅黑" w:cs="微软雅黑"/>
          <w:sz w:val="24"/>
          <w:szCs w:val="24"/>
        </w:rPr>
      </w:pPr>
      <w:r>
        <w:rPr>
          <w:rFonts w:hint="eastAsia" w:ascii="方正仿宋_GB2312" w:hAnsi="方正仿宋_GB2312" w:eastAsia="方正仿宋_GB2312" w:cs="方正仿宋_GB2312"/>
          <w:sz w:val="24"/>
          <w:szCs w:val="24"/>
        </w:rPr>
        <w:t>根据医院总的发展战略目标，依据国家《三级公立医院绩效</w:t>
      </w:r>
      <w:r>
        <w:rPr>
          <w:rFonts w:hint="eastAsia" w:ascii="方正仿宋_GB2312" w:hAnsi="方正仿宋_GB2312" w:eastAsia="方正仿宋_GB2312" w:cs="方正仿宋_GB2312"/>
          <w:sz w:val="24"/>
          <w:szCs w:val="24"/>
          <w:lang w:val="en-US" w:eastAsia="zh-CN"/>
        </w:rPr>
        <w:t>监测</w:t>
      </w:r>
      <w:r>
        <w:rPr>
          <w:rFonts w:hint="eastAsia" w:ascii="方正仿宋_GB2312" w:hAnsi="方正仿宋_GB2312" w:eastAsia="方正仿宋_GB2312" w:cs="方正仿宋_GB2312"/>
          <w:sz w:val="24"/>
          <w:szCs w:val="24"/>
        </w:rPr>
        <w:t>指标》，提供三级公立医院绩效</w:t>
      </w:r>
      <w:r>
        <w:rPr>
          <w:rFonts w:hint="eastAsia" w:ascii="方正仿宋_GB2312" w:hAnsi="方正仿宋_GB2312" w:eastAsia="方正仿宋_GB2312" w:cs="方正仿宋_GB2312"/>
          <w:sz w:val="24"/>
          <w:szCs w:val="24"/>
          <w:lang w:val="en-US" w:eastAsia="zh-CN"/>
        </w:rPr>
        <w:t>监测</w:t>
      </w:r>
      <w:r>
        <w:rPr>
          <w:rFonts w:hint="eastAsia" w:ascii="方正仿宋_GB2312" w:hAnsi="方正仿宋_GB2312" w:eastAsia="方正仿宋_GB2312" w:cs="方正仿宋_GB2312"/>
          <w:sz w:val="24"/>
          <w:szCs w:val="24"/>
        </w:rPr>
        <w:t>方案设计，方案要满足国家政策要求。</w:t>
      </w:r>
    </w:p>
    <w:p w14:paraId="7F29AD5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cs="楷体"/>
          <w:b w:val="0"/>
          <w:bCs w:val="0"/>
          <w:sz w:val="24"/>
          <w:szCs w:val="24"/>
          <w:lang w:val="en-US" w:eastAsia="zh-CN"/>
        </w:rPr>
      </w:pPr>
      <w:bookmarkStart w:id="29" w:name="_Toc220076493"/>
      <w:r>
        <w:rPr>
          <w:rFonts w:hint="eastAsia" w:ascii="楷体" w:hAnsi="楷体" w:eastAsia="楷体" w:cs="楷体"/>
          <w:b w:val="0"/>
          <w:bCs w:val="0"/>
          <w:sz w:val="24"/>
          <w:szCs w:val="24"/>
          <w:lang w:val="en-US" w:eastAsia="zh-CN"/>
        </w:rPr>
        <w:t>2.10行政后勤类科室绩效评价建议方案设计</w:t>
      </w:r>
      <w:bookmarkEnd w:id="29"/>
    </w:p>
    <w:p w14:paraId="34759B1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微软雅黑" w:hAnsi="微软雅黑" w:eastAsia="微软雅黑" w:cs="微软雅黑"/>
        </w:rPr>
      </w:pPr>
      <w:bookmarkStart w:id="30" w:name="_Toc220076494"/>
      <w:r>
        <w:rPr>
          <w:rFonts w:hint="eastAsia" w:ascii="方正仿宋_GB2312" w:hAnsi="方正仿宋_GB2312" w:eastAsia="方正仿宋_GB2312" w:cs="方正仿宋_GB2312"/>
          <w:sz w:val="24"/>
          <w:szCs w:val="24"/>
        </w:rPr>
        <w:t>为提升医院精细化管理水平，建立一套符合公立医院行业特性的行政后勤绩效分配体系方案。为医院提供该类科室绩效考核建议，与医院项目工作小组共同</w:t>
      </w:r>
      <w:r>
        <w:rPr>
          <w:rFonts w:hint="eastAsia" w:ascii="方正仿宋_GB2312" w:hAnsi="方正仿宋_GB2312" w:eastAsia="方正仿宋_GB2312" w:cs="方正仿宋_GB2312"/>
          <w:sz w:val="24"/>
          <w:szCs w:val="24"/>
          <w:lang w:val="en-US" w:eastAsia="zh-CN"/>
        </w:rPr>
        <w:t>形成</w:t>
      </w:r>
      <w:r>
        <w:rPr>
          <w:rFonts w:hint="eastAsia" w:ascii="方正仿宋_GB2312" w:hAnsi="方正仿宋_GB2312" w:eastAsia="方正仿宋_GB2312" w:cs="方正仿宋_GB2312"/>
          <w:sz w:val="24"/>
          <w:szCs w:val="24"/>
        </w:rPr>
        <w:t>一份</w:t>
      </w:r>
      <w:r>
        <w:rPr>
          <w:rFonts w:hint="eastAsia" w:ascii="方正仿宋_GB2312" w:hAnsi="方正仿宋_GB2312" w:eastAsia="方正仿宋_GB2312" w:cs="方正仿宋_GB2312"/>
          <w:sz w:val="24"/>
          <w:szCs w:val="24"/>
          <w:lang w:val="en-US" w:eastAsia="zh-CN"/>
        </w:rPr>
        <w:t>包含</w:t>
      </w:r>
      <w:r>
        <w:rPr>
          <w:rFonts w:hint="eastAsia" w:ascii="方正仿宋_GB2312" w:hAnsi="方正仿宋_GB2312" w:eastAsia="方正仿宋_GB2312" w:cs="方正仿宋_GB2312"/>
          <w:sz w:val="24"/>
          <w:szCs w:val="24"/>
        </w:rPr>
        <w:t>行</w:t>
      </w:r>
      <w:r>
        <w:rPr>
          <w:rFonts w:hint="eastAsia" w:ascii="方正仿宋_GB2312" w:hAnsi="方正仿宋_GB2312" w:eastAsia="方正仿宋_GB2312" w:cs="方正仿宋_GB2312"/>
          <w:sz w:val="24"/>
          <w:szCs w:val="24"/>
          <w:lang w:val="en-US" w:eastAsia="zh-CN"/>
        </w:rPr>
        <w:t>政后勤</w:t>
      </w:r>
      <w:r>
        <w:rPr>
          <w:rFonts w:hint="eastAsia" w:ascii="方正仿宋_GB2312" w:hAnsi="方正仿宋_GB2312" w:eastAsia="方正仿宋_GB2312" w:cs="方正仿宋_GB2312"/>
          <w:sz w:val="24"/>
          <w:szCs w:val="24"/>
        </w:rPr>
        <w:t>绩效考核和绩效工资测算</w:t>
      </w:r>
      <w:r>
        <w:rPr>
          <w:rFonts w:hint="eastAsia" w:ascii="方正仿宋_GB2312" w:hAnsi="方正仿宋_GB2312" w:eastAsia="方正仿宋_GB2312" w:cs="方正仿宋_GB2312"/>
          <w:sz w:val="24"/>
          <w:szCs w:val="24"/>
          <w:lang w:val="en-US" w:eastAsia="zh-CN"/>
        </w:rPr>
        <w:t>的</w:t>
      </w:r>
      <w:r>
        <w:rPr>
          <w:rFonts w:hint="eastAsia" w:ascii="方正仿宋_GB2312" w:hAnsi="方正仿宋_GB2312" w:eastAsia="方正仿宋_GB2312" w:cs="方正仿宋_GB2312"/>
          <w:sz w:val="24"/>
          <w:szCs w:val="24"/>
        </w:rPr>
        <w:t>方案。</w:t>
      </w:r>
    </w:p>
    <w:p w14:paraId="6EE7CCF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三、</w:t>
      </w:r>
      <w:r>
        <w:rPr>
          <w:rFonts w:hint="eastAsia" w:ascii="黑体" w:hAnsi="黑体" w:eastAsia="黑体" w:cs="黑体"/>
          <w:b w:val="0"/>
          <w:bCs w:val="0"/>
          <w:sz w:val="28"/>
          <w:szCs w:val="28"/>
        </w:rPr>
        <w:t>医院绩效管理软件</w:t>
      </w:r>
      <w:bookmarkEnd w:id="30"/>
      <w:r>
        <w:rPr>
          <w:rFonts w:hint="eastAsia" w:ascii="黑体" w:hAnsi="黑体" w:eastAsia="黑体" w:cs="黑体"/>
          <w:b w:val="0"/>
          <w:bCs w:val="0"/>
          <w:sz w:val="28"/>
          <w:szCs w:val="28"/>
          <w:lang w:eastAsia="zh-CN"/>
        </w:rPr>
        <w:t>模块</w:t>
      </w:r>
      <w:r>
        <w:rPr>
          <w:rFonts w:hint="eastAsia" w:ascii="黑体" w:hAnsi="黑体" w:eastAsia="黑体" w:cs="黑体"/>
          <w:b w:val="0"/>
          <w:bCs w:val="0"/>
          <w:sz w:val="28"/>
          <w:szCs w:val="28"/>
          <w:lang w:val="en-US" w:eastAsia="zh-CN"/>
        </w:rPr>
        <w:t>需求</w:t>
      </w:r>
    </w:p>
    <w:p w14:paraId="6020400E">
      <w:pPr>
        <w:pStyle w:val="2"/>
        <w:keepNext w:val="0"/>
        <w:keepLines w:val="0"/>
        <w:pageBreakBefore w:val="0"/>
        <w:widowControl w:val="0"/>
        <w:kinsoku/>
        <w:wordWrap/>
        <w:overflowPunct/>
        <w:topLinePunct w:val="0"/>
        <w:autoSpaceDE/>
        <w:autoSpaceDN/>
        <w:bidi w:val="0"/>
        <w:adjustRightInd/>
        <w:snapToGrid/>
        <w:spacing w:line="400" w:lineRule="exact"/>
        <w:ind w:firstLine="480" w:firstLineChars="200"/>
        <w:rPr>
          <w:rFonts w:hint="default" w:ascii="微软雅黑" w:hAnsi="微软雅黑" w:eastAsia="微软雅黑" w:cs="微软雅黑"/>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医院绩效管理软件需求如下：</w:t>
      </w:r>
    </w:p>
    <w:tbl>
      <w:tblPr>
        <w:tblStyle w:val="8"/>
        <w:tblW w:w="0" w:type="auto"/>
        <w:tblInd w:w="16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75"/>
        <w:gridCol w:w="1945"/>
        <w:gridCol w:w="5233"/>
      </w:tblGrid>
      <w:tr w14:paraId="4B7A4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E8E7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b/>
                <w:bCs/>
              </w:rPr>
            </w:pPr>
            <w:r>
              <w:rPr>
                <w:rFonts w:hint="eastAsia" w:ascii="方正仿宋_GB2312" w:hAnsi="方正仿宋_GB2312" w:eastAsia="方正仿宋_GB2312" w:cs="方正仿宋_GB2312"/>
                <w:b/>
                <w:bCs/>
                <w:lang w:val="en-US" w:eastAsia="zh-CN"/>
              </w:rPr>
              <w:t>一级功能</w:t>
            </w:r>
          </w:p>
        </w:tc>
        <w:tc>
          <w:tcPr>
            <w:tcW w:w="1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813D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b/>
                <w:bCs/>
              </w:rPr>
            </w:pPr>
            <w:r>
              <w:rPr>
                <w:rFonts w:hint="eastAsia" w:ascii="方正仿宋_GB2312" w:hAnsi="方正仿宋_GB2312" w:eastAsia="方正仿宋_GB2312" w:cs="方正仿宋_GB2312"/>
                <w:b/>
                <w:bCs/>
                <w:lang w:val="en-US" w:eastAsia="zh-CN"/>
              </w:rPr>
              <w:t>二级功能</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4A1A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b/>
                <w:bCs/>
              </w:rPr>
            </w:pPr>
            <w:r>
              <w:rPr>
                <w:rFonts w:hint="eastAsia" w:ascii="方正仿宋_GB2312" w:hAnsi="方正仿宋_GB2312" w:eastAsia="方正仿宋_GB2312" w:cs="方正仿宋_GB2312"/>
                <w:b/>
                <w:bCs/>
                <w:lang w:val="en-US" w:eastAsia="zh-CN"/>
              </w:rPr>
              <w:t>功能描述</w:t>
            </w:r>
          </w:p>
        </w:tc>
      </w:tr>
      <w:tr w14:paraId="63D65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ADBC8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系统操作</w:t>
            </w:r>
          </w:p>
        </w:tc>
        <w:tc>
          <w:tcPr>
            <w:tcW w:w="1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E01F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登录</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0FAF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用户输入账户登录。</w:t>
            </w:r>
          </w:p>
        </w:tc>
      </w:tr>
      <w:tr w14:paraId="0F766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E533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p>
        </w:tc>
        <w:tc>
          <w:tcPr>
            <w:tcW w:w="1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FF80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退出</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F77D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用户注销当前状态。</w:t>
            </w:r>
          </w:p>
        </w:tc>
      </w:tr>
      <w:tr w14:paraId="42B30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3D56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p>
        </w:tc>
        <w:tc>
          <w:tcPr>
            <w:tcW w:w="1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5401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修改密码</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C414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用户修改自己的密码。</w:t>
            </w:r>
          </w:p>
        </w:tc>
      </w:tr>
      <w:tr w14:paraId="516FD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8E57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p>
        </w:tc>
        <w:tc>
          <w:tcPr>
            <w:tcW w:w="1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E06A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系统通知</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9835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其他用户或者软件自动发送消息给用户，用户可通过弹窗查看。</w:t>
            </w:r>
          </w:p>
        </w:tc>
      </w:tr>
      <w:tr w14:paraId="2B1F5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CA16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p>
        </w:tc>
        <w:tc>
          <w:tcPr>
            <w:tcW w:w="1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3FF5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一次指引</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C18F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可自定义的流程控制引擎，确保用户在绩效核算之前完成所有必要步骤，以图形方式指引用户完成绩效核算和操作。</w:t>
            </w:r>
          </w:p>
        </w:tc>
      </w:tr>
      <w:tr w14:paraId="1691B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C433B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绩效驾驶舱</w:t>
            </w:r>
          </w:p>
        </w:tc>
        <w:tc>
          <w:tcPr>
            <w:tcW w:w="1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B9FD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全院绩效统计</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D7E0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为院级管理用户在登录首页展示医院整体的一次绩效趋势、二次绩效及趋势、各职类一次绩效分布、各职类二次分配水平等情况，包含数据卡片和分析图表。</w:t>
            </w:r>
          </w:p>
        </w:tc>
      </w:tr>
      <w:tr w14:paraId="1703F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45D7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p>
        </w:tc>
        <w:tc>
          <w:tcPr>
            <w:tcW w:w="1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1F22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科室绩效统计</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829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为科室管理用户在登录首页展示核算单元的一次分配绩效趋势、收入趋势及结构、绩效指标变化趋势，以及所属发放单元的二次绩效及趋势、二次分配绩效结构等情况，包含数据卡片和分析图表。</w:t>
            </w:r>
          </w:p>
        </w:tc>
      </w:tr>
      <w:tr w14:paraId="3131A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E878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4092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快速计算绩效结果</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01A9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若方案中调整某个数据，可快速计算并查看结果。</w:t>
            </w:r>
          </w:p>
        </w:tc>
      </w:tr>
      <w:tr w14:paraId="50800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48F1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3793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绩效测算对比</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6D9E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对比几个绩效模型所计算的结果。</w:t>
            </w:r>
          </w:p>
        </w:tc>
      </w:tr>
      <w:tr w14:paraId="0E7EB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FBB01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一次评价分配</w:t>
            </w:r>
          </w:p>
        </w:tc>
        <w:tc>
          <w:tcPr>
            <w:tcW w:w="1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9812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一次评价计算</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6C9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按照点数、规则、公式对医、护、技、药、行管、后勤等序列进行一次评价与分配。</w:t>
            </w:r>
          </w:p>
        </w:tc>
      </w:tr>
      <w:tr w14:paraId="4EDC1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4DB5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p>
        </w:tc>
        <w:tc>
          <w:tcPr>
            <w:tcW w:w="1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6EB2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行管一次评价计算</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8ADF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按照各类考核系数、指标、公式单独对行管后勤等序列进行一次评价与分配。</w:t>
            </w:r>
          </w:p>
        </w:tc>
      </w:tr>
      <w:tr w14:paraId="257DA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A788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p>
        </w:tc>
        <w:tc>
          <w:tcPr>
            <w:tcW w:w="1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CF95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RVU点数维护</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FC67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维护RBRVS项目的基准点数和科室特殊点数。</w:t>
            </w:r>
          </w:p>
        </w:tc>
      </w:tr>
      <w:tr w14:paraId="1B683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F9A4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p>
        </w:tc>
        <w:tc>
          <w:tcPr>
            <w:tcW w:w="1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05E3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核算模型管理</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614A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设置医、护、技、药、行管、后勤等序列每个核算单元的绩效公式、规则。</w:t>
            </w:r>
          </w:p>
        </w:tc>
      </w:tr>
      <w:tr w14:paraId="0ADE8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DF0D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p>
        </w:tc>
        <w:tc>
          <w:tcPr>
            <w:tcW w:w="1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A409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手工数据管理</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455E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绩效计算所需要的部分特殊数据，支持进行手工填写。</w:t>
            </w:r>
          </w:p>
        </w:tc>
      </w:tr>
      <w:tr w14:paraId="1CBF7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AFB1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p>
        </w:tc>
        <w:tc>
          <w:tcPr>
            <w:tcW w:w="1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4B32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手工数据审核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E3BD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对录入的手工数据进行审核。</w:t>
            </w:r>
          </w:p>
        </w:tc>
      </w:tr>
      <w:tr w14:paraId="5AF83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0E1F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二次评价分配</w:t>
            </w:r>
          </w:p>
        </w:tc>
        <w:tc>
          <w:tcPr>
            <w:tcW w:w="1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37A5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科室分配项目</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31CC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科室可自行设置绩效二次分配的名目。</w:t>
            </w:r>
          </w:p>
        </w:tc>
      </w:tr>
      <w:tr w14:paraId="75F4F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6140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p>
        </w:tc>
        <w:tc>
          <w:tcPr>
            <w:tcW w:w="1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89E7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科室绩效发布</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3E9A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医院管理部门对科室公布一次评价结果，科室在此基础上进行二次分配。</w:t>
            </w:r>
          </w:p>
        </w:tc>
      </w:tr>
      <w:tr w14:paraId="154D8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61DE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p>
        </w:tc>
        <w:tc>
          <w:tcPr>
            <w:tcW w:w="1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DE24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发放单元绩效调剂</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4FF0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科室之间按二次分配项目进行绩效总量调拨。</w:t>
            </w:r>
          </w:p>
        </w:tc>
      </w:tr>
      <w:tr w14:paraId="1BBC3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82E2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p>
        </w:tc>
        <w:tc>
          <w:tcPr>
            <w:tcW w:w="1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590D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科室绩效分配</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619B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科室按照设置的二次分配项目自行发放绩效，并且填报。</w:t>
            </w:r>
          </w:p>
        </w:tc>
      </w:tr>
      <w:tr w14:paraId="3F277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F6F6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p>
        </w:tc>
        <w:tc>
          <w:tcPr>
            <w:tcW w:w="1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7484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科室分配审核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D4F9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管理部门对科室二次分配结果进行审核。</w:t>
            </w:r>
          </w:p>
        </w:tc>
      </w:tr>
      <w:tr w14:paraId="77887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FE99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p>
        </w:tc>
        <w:tc>
          <w:tcPr>
            <w:tcW w:w="1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6AB9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医院分配项目</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81F9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医院层面直接发放到个人的绩效项目可在此设置。</w:t>
            </w:r>
          </w:p>
        </w:tc>
      </w:tr>
      <w:tr w14:paraId="33EFD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E9AA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p>
        </w:tc>
        <w:tc>
          <w:tcPr>
            <w:tcW w:w="1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09AA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医院绩效分配</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2B61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按照医院分配项目，由医院层面直接录入发放金额，并且计税。</w:t>
            </w:r>
          </w:p>
        </w:tc>
      </w:tr>
      <w:tr w14:paraId="51CA6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851C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p>
        </w:tc>
        <w:tc>
          <w:tcPr>
            <w:tcW w:w="1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736D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医院计发审核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8730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对医院发放项目及金额进行审核。</w:t>
            </w:r>
          </w:p>
        </w:tc>
      </w:tr>
      <w:tr w14:paraId="626F9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F6CB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专项绩效评价</w:t>
            </w:r>
          </w:p>
        </w:tc>
        <w:tc>
          <w:tcPr>
            <w:tcW w:w="1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C6A3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专项绩效查询</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71CD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查询各项专项绩效的结果，并进行归档。</w:t>
            </w:r>
          </w:p>
        </w:tc>
      </w:tr>
      <w:tr w14:paraId="6037A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B1B9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p>
        </w:tc>
        <w:tc>
          <w:tcPr>
            <w:tcW w:w="1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5651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专项绩效管理</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FC9F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管理各项专项绩效，包括新增、数据配置。</w:t>
            </w:r>
          </w:p>
        </w:tc>
      </w:tr>
      <w:tr w14:paraId="65084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DBB5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p>
        </w:tc>
        <w:tc>
          <w:tcPr>
            <w:tcW w:w="1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8564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参数维护</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877F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维护核算专项绩效的各项参数。</w:t>
            </w:r>
          </w:p>
        </w:tc>
      </w:tr>
      <w:tr w14:paraId="3A944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764D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成本数据</w:t>
            </w:r>
          </w:p>
        </w:tc>
        <w:tc>
          <w:tcPr>
            <w:tcW w:w="1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25A4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成本科目维护</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2985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设置成本科目字典。</w:t>
            </w:r>
          </w:p>
        </w:tc>
      </w:tr>
      <w:tr w14:paraId="2F7F9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977F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p>
        </w:tc>
        <w:tc>
          <w:tcPr>
            <w:tcW w:w="1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9A75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成本数据管理</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7A01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成本数据录入、导入、导出。</w:t>
            </w:r>
          </w:p>
        </w:tc>
      </w:tr>
      <w:tr w14:paraId="2E5E0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9F47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p>
        </w:tc>
        <w:tc>
          <w:tcPr>
            <w:tcW w:w="1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6396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成本数据审核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550A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对成本数据审核或驳回</w:t>
            </w:r>
          </w:p>
        </w:tc>
      </w:tr>
      <w:tr w14:paraId="7E505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1465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指标管理</w:t>
            </w:r>
          </w:p>
        </w:tc>
        <w:tc>
          <w:tcPr>
            <w:tcW w:w="1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7F20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指标管理</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0EA7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KPI指标模板的维护、指标分配到科室。</w:t>
            </w:r>
          </w:p>
        </w:tc>
      </w:tr>
      <w:tr w14:paraId="685F7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E546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p>
        </w:tc>
        <w:tc>
          <w:tcPr>
            <w:tcW w:w="1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DC1C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目标值管理</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BBD9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维护不同核算单元的指标的目标值。</w:t>
            </w:r>
          </w:p>
        </w:tc>
      </w:tr>
      <w:tr w14:paraId="0A9D6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CD86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p>
        </w:tc>
        <w:tc>
          <w:tcPr>
            <w:tcW w:w="1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51ED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指标录入</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D10B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打分科室为各个核算单元进行打分。</w:t>
            </w:r>
          </w:p>
        </w:tc>
      </w:tr>
      <w:tr w14:paraId="3853B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48CD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p>
        </w:tc>
        <w:tc>
          <w:tcPr>
            <w:tcW w:w="1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6170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得分计算</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6FCB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对打分结果进行审核，并且计算出总分。</w:t>
            </w:r>
          </w:p>
        </w:tc>
      </w:tr>
      <w:tr w14:paraId="7E6AD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BB2E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p>
        </w:tc>
        <w:tc>
          <w:tcPr>
            <w:tcW w:w="1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17DD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得分查询</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96CA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科室查询各自KPI的目标值、考核值以及对应得分。</w:t>
            </w:r>
          </w:p>
        </w:tc>
      </w:tr>
      <w:tr w14:paraId="64AA3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9A82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lang w:val="en-US" w:eastAsia="zh-CN"/>
              </w:rPr>
            </w:pPr>
          </w:p>
          <w:p w14:paraId="2071B46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lang w:val="en-US" w:eastAsia="zh-CN"/>
              </w:rPr>
            </w:pPr>
          </w:p>
          <w:p w14:paraId="11A2F97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lang w:val="en-US" w:eastAsia="zh-CN"/>
              </w:rPr>
            </w:pPr>
          </w:p>
          <w:p w14:paraId="25A90E0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人事信息</w:t>
            </w:r>
          </w:p>
        </w:tc>
        <w:tc>
          <w:tcPr>
            <w:tcW w:w="1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4297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员工信息管理</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E56F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全院员工个人信息的维护，可设置其对应HIS工号等。</w:t>
            </w:r>
          </w:p>
        </w:tc>
      </w:tr>
      <w:tr w14:paraId="78615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9A8E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p>
        </w:tc>
        <w:tc>
          <w:tcPr>
            <w:tcW w:w="1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89CD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员工月查询</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6447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按月归档员工信息的查询。</w:t>
            </w:r>
          </w:p>
        </w:tc>
      </w:tr>
      <w:tr w14:paraId="49444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12DA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p>
        </w:tc>
        <w:tc>
          <w:tcPr>
            <w:tcW w:w="1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9346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岗位字典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D6C2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设置院内岗位字典，以及对应积分。</w:t>
            </w:r>
          </w:p>
        </w:tc>
      </w:tr>
      <w:tr w14:paraId="7E3B0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1EBD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p>
        </w:tc>
        <w:tc>
          <w:tcPr>
            <w:tcW w:w="1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6701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职称字典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7990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设置院内职称字典，以及对应积分。</w:t>
            </w:r>
          </w:p>
        </w:tc>
      </w:tr>
      <w:tr w14:paraId="6AB89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CB2E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p>
        </w:tc>
        <w:tc>
          <w:tcPr>
            <w:tcW w:w="1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0F0F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行政职务字典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5967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设置院内行政职务字典，以及对应积分。</w:t>
            </w:r>
          </w:p>
        </w:tc>
      </w:tr>
      <w:tr w14:paraId="5CE05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E5A1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p>
        </w:tc>
        <w:tc>
          <w:tcPr>
            <w:tcW w:w="1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A36C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护理能级字典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DCA1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设置院内护理能级字典，以及对应积分。</w:t>
            </w:r>
          </w:p>
        </w:tc>
      </w:tr>
      <w:tr w14:paraId="4C13A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EFD3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p>
        </w:tc>
        <w:tc>
          <w:tcPr>
            <w:tcW w:w="1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489B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个人职类字典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61A0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设置院内职类序列字典，以及对应积分。</w:t>
            </w:r>
          </w:p>
        </w:tc>
      </w:tr>
      <w:tr w14:paraId="40382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14AE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p>
        </w:tc>
        <w:tc>
          <w:tcPr>
            <w:tcW w:w="1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7574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学历字典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94E0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设置院内学历字典，以及对应积分。</w:t>
            </w:r>
          </w:p>
        </w:tc>
      </w:tr>
      <w:tr w14:paraId="65B19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4212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p>
        </w:tc>
        <w:tc>
          <w:tcPr>
            <w:tcW w:w="1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3DF9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年龄工龄字典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C53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设置年龄和工龄字典，以及对应积分。</w:t>
            </w:r>
          </w:p>
        </w:tc>
      </w:tr>
      <w:tr w14:paraId="1F3DE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4EAE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组织架构管理</w:t>
            </w:r>
          </w:p>
        </w:tc>
        <w:tc>
          <w:tcPr>
            <w:tcW w:w="1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592D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核算单元管理</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8F53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绩效核算单元的设置，并建立绩效核算单元与HIS科室的映射关系。</w:t>
            </w:r>
          </w:p>
        </w:tc>
      </w:tr>
      <w:tr w14:paraId="338B7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9028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p>
        </w:tc>
        <w:tc>
          <w:tcPr>
            <w:tcW w:w="1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D278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发放单元管理</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7B54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在核算单元上层设置发放单元，并建立发放单元与绩效核算单元的从属关系。</w:t>
            </w:r>
          </w:p>
        </w:tc>
      </w:tr>
      <w:tr w14:paraId="44227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F05E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p>
        </w:tc>
        <w:tc>
          <w:tcPr>
            <w:tcW w:w="1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8EE0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科室管理</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1D80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按照院内科室级别设置，创建科室字典，并建立科室与绩效核算单元的映射关系。</w:t>
            </w:r>
          </w:p>
        </w:tc>
      </w:tr>
      <w:tr w14:paraId="78A8E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148A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p>
        </w:tc>
        <w:tc>
          <w:tcPr>
            <w:tcW w:w="1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BAEC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医疗组管理</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2552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设置全部医疗组，并建立医疗组和科室、绩效核算单元的映射关系。</w:t>
            </w:r>
          </w:p>
        </w:tc>
      </w:tr>
      <w:tr w14:paraId="64D5D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E85D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p>
        </w:tc>
        <w:tc>
          <w:tcPr>
            <w:tcW w:w="1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C3B9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成本科室管理</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868D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设置医院原有财务或成本的组织结构，并建立与绩效核算单元的映射关系。</w:t>
            </w:r>
          </w:p>
        </w:tc>
      </w:tr>
      <w:tr w14:paraId="7EA51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304D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排班管理</w:t>
            </w:r>
          </w:p>
        </w:tc>
        <w:tc>
          <w:tcPr>
            <w:tcW w:w="1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CC74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节假日维护</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B4BA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定义院内的工作日和节假日日历。</w:t>
            </w:r>
          </w:p>
        </w:tc>
      </w:tr>
      <w:tr w14:paraId="27432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5C2B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p>
        </w:tc>
        <w:tc>
          <w:tcPr>
            <w:tcW w:w="1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775F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夜班排班人数管理</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4545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设置各类夜班在不同科室的值班人数，用于软件自动控制二次分配的夜班费额度。</w:t>
            </w:r>
          </w:p>
        </w:tc>
      </w:tr>
      <w:tr w14:paraId="0424A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57A37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RBRVS数据字典</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2A38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医院RBRVS系数</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8832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用于对比项目之间的分值以评估合理性。</w:t>
            </w:r>
          </w:p>
        </w:tc>
      </w:tr>
      <w:tr w14:paraId="0C49A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7B42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751B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RBRVS系数维护</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98F3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配置医院RBRVS系数的相关信息用于后续计算RBRVS工分时使用。</w:t>
            </w:r>
          </w:p>
        </w:tc>
      </w:tr>
      <w:tr w14:paraId="5FA52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4DEA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820F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特殊RBRVS系数</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FD39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用于设置特殊科室特殊项目的工分，计算工分时优先使用特殊项目工分。</w:t>
            </w:r>
          </w:p>
        </w:tc>
      </w:tr>
      <w:tr w14:paraId="7AC34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D0C5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2BED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绩效部门组管理</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FEC1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用于配置系统中的工作组信息，以及工作组所包含的组成员的相关信息。</w:t>
            </w:r>
          </w:p>
        </w:tc>
      </w:tr>
      <w:tr w14:paraId="64CE5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3B67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2FE4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绩效核算部门分类</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41F5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用于管理当前部门分类以及当前部门所归属分类，主要用于后续报表查询统计。</w:t>
            </w:r>
          </w:p>
        </w:tc>
      </w:tr>
      <w:tr w14:paraId="46E44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EC6B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174A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收支项目分类管理</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C9AE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用于管理当前系统中的收支分类，即收入类别以及支出类别。</w:t>
            </w:r>
          </w:p>
        </w:tc>
      </w:tr>
      <w:tr w14:paraId="0A1D1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B897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F73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收费项目管理</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6A6D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用于管理当前系统收费项目信息，如收费项目编码、名称、单价、收入类别等。</w:t>
            </w:r>
          </w:p>
        </w:tc>
      </w:tr>
      <w:tr w14:paraId="12318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849E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C11D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中间数据字典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8268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配置当前系统中所有用到的中间数据字典信息以及对应的类别。</w:t>
            </w:r>
          </w:p>
        </w:tc>
      </w:tr>
      <w:tr w14:paraId="21477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F5C3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E267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病种工分管理</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FC6E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管理病种工分，以核算病种工作量。</w:t>
            </w:r>
          </w:p>
        </w:tc>
      </w:tr>
      <w:tr w14:paraId="02980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501F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F1CC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数据对照字典</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E7D0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配置所有需要对照的外部系统编码信息，供后续数据对照页面对照选择。</w:t>
            </w:r>
          </w:p>
        </w:tc>
      </w:tr>
      <w:tr w14:paraId="6EF67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5A6E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lang w:val="en-US" w:eastAsia="zh-CN"/>
              </w:rPr>
            </w:pPr>
          </w:p>
          <w:p w14:paraId="656F74D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lang w:val="en-US" w:eastAsia="zh-CN"/>
              </w:rPr>
            </w:pPr>
          </w:p>
          <w:p w14:paraId="182A7F9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lang w:val="en-US" w:eastAsia="zh-CN"/>
              </w:rPr>
            </w:pPr>
          </w:p>
          <w:p w14:paraId="538B113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lang w:val="en-US" w:eastAsia="zh-CN"/>
              </w:rPr>
            </w:pPr>
          </w:p>
          <w:p w14:paraId="324CF05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lang w:val="en-US" w:eastAsia="zh-CN"/>
              </w:rPr>
            </w:pPr>
          </w:p>
          <w:p w14:paraId="551E585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lang w:val="en-US" w:eastAsia="zh-CN"/>
              </w:rPr>
            </w:pPr>
          </w:p>
          <w:p w14:paraId="6BB1652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数据汇总分析</w:t>
            </w:r>
          </w:p>
        </w:tc>
        <w:tc>
          <w:tcPr>
            <w:tcW w:w="1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74D0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表格数据分析</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AA35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可对所有后台表格设置查询条件，并进行检索。支持数据导出。</w:t>
            </w:r>
          </w:p>
        </w:tc>
      </w:tr>
      <w:tr w14:paraId="7DCED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2867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p>
        </w:tc>
        <w:tc>
          <w:tcPr>
            <w:tcW w:w="1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A568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数据采集情况</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A8FB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监控数据采集的执行情况。</w:t>
            </w:r>
          </w:p>
        </w:tc>
      </w:tr>
      <w:tr w14:paraId="646E1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D3B0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p>
        </w:tc>
        <w:tc>
          <w:tcPr>
            <w:tcW w:w="1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4C85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表格数据维护</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1F5B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依照条件查询某些表格数据，并可直接对数据进行编辑和修改。</w:t>
            </w:r>
          </w:p>
        </w:tc>
      </w:tr>
      <w:tr w14:paraId="191C8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99A3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p>
        </w:tc>
        <w:tc>
          <w:tcPr>
            <w:tcW w:w="1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281C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基础数据归档</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B075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将指定的基础数据表格按月封存归档。</w:t>
            </w:r>
          </w:p>
        </w:tc>
      </w:tr>
      <w:tr w14:paraId="57D4A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AE99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p>
        </w:tc>
        <w:tc>
          <w:tcPr>
            <w:tcW w:w="1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F1C9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点数明细查询</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6DAE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管理部门查询各科</w:t>
            </w:r>
            <w:r>
              <w:rPr>
                <w:rFonts w:hint="eastAsia" w:ascii="方正仿宋_GB2312" w:hAnsi="方正仿宋_GB2312" w:eastAsia="方正仿宋_GB2312" w:cs="方正仿宋_GB2312"/>
                <w:u w:val="none"/>
                <w:lang w:val="en-US" w:eastAsia="zh-CN"/>
              </w:rPr>
              <w:t>室绩效</w:t>
            </w:r>
            <w:r>
              <w:rPr>
                <w:rFonts w:hint="eastAsia" w:ascii="方正仿宋_GB2312" w:hAnsi="方正仿宋_GB2312" w:eastAsia="方正仿宋_GB2312" w:cs="方正仿宋_GB2312"/>
                <w:lang w:val="en-US" w:eastAsia="zh-CN"/>
              </w:rPr>
              <w:t>规则的收费明细项，并支持明细数据下载功能。</w:t>
            </w:r>
          </w:p>
        </w:tc>
      </w:tr>
      <w:tr w14:paraId="46A1D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756B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p>
        </w:tc>
        <w:tc>
          <w:tcPr>
            <w:tcW w:w="1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E6EB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系统任务</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85B2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数据分析的相关模块，可打开标准报表系统，或者执行各种系统级别的任务。</w:t>
            </w:r>
          </w:p>
        </w:tc>
      </w:tr>
      <w:tr w14:paraId="4B409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83CE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p>
        </w:tc>
        <w:tc>
          <w:tcPr>
            <w:tcW w:w="1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CF21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绩效文档管理</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906F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管理员和普通用户上传、下载、管理和绩效相关的文档；管理员可下发公共文件或制度。</w:t>
            </w:r>
          </w:p>
        </w:tc>
      </w:tr>
      <w:tr w14:paraId="0B31A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064C4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科室自助查询</w:t>
            </w:r>
          </w:p>
        </w:tc>
        <w:tc>
          <w:tcPr>
            <w:tcW w:w="1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1E9A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个人绩效查询</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D3E9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员工自助查询二次分配至个人的绩效结果及明细，了解自身绩效薪酬构成和来源，并可签名确认或反馈异议。</w:t>
            </w:r>
          </w:p>
        </w:tc>
      </w:tr>
      <w:tr w14:paraId="4CC09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AF79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p>
        </w:tc>
        <w:tc>
          <w:tcPr>
            <w:tcW w:w="1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68E8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科室绩效查询</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6EFE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科室管理用户针对科室工作量绩效进行自助查询，可以通过可视化图表了解或分析绩效的计算过程，绩效指标的变化趋势，并可进一步分析成本构成明细、科室优势工作量项目等。</w:t>
            </w:r>
          </w:p>
        </w:tc>
      </w:tr>
      <w:tr w14:paraId="7D79D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E891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p>
        </w:tc>
        <w:tc>
          <w:tcPr>
            <w:tcW w:w="1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2755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科室后台明细</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508D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可以配置查询模板并一键调用，通过不同的条件组合，查询或汇总统计科室及个人的费用、工作量点数、项目数量等信息，类似于Excel的透视图。</w:t>
            </w:r>
          </w:p>
        </w:tc>
      </w:tr>
      <w:tr w14:paraId="58D4C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0302B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通用工具</w:t>
            </w:r>
          </w:p>
        </w:tc>
        <w:tc>
          <w:tcPr>
            <w:tcW w:w="1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5E90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消息管理</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2E8C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对指定用户发送通知或消息。</w:t>
            </w:r>
          </w:p>
        </w:tc>
      </w:tr>
      <w:tr w14:paraId="011C7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4983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p>
        </w:tc>
        <w:tc>
          <w:tcPr>
            <w:tcW w:w="1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02D9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客户服务</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8F4F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联通互联网时可向软件提供商在线发起报修工单或问题答疑。</w:t>
            </w:r>
          </w:p>
        </w:tc>
      </w:tr>
      <w:tr w14:paraId="54DF0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4590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36A7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日志查询</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7CFF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用以查询操作日志。</w:t>
            </w:r>
          </w:p>
        </w:tc>
      </w:tr>
      <w:tr w14:paraId="14CFD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12D5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9BA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绩效公式测试</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C585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用于测试系统中公式编写的正确性以及公式结果的查看。</w:t>
            </w:r>
          </w:p>
        </w:tc>
      </w:tr>
      <w:tr w14:paraId="0F6FE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BFAF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DC8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绩效参数设置</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53C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配置绩效系统相关参数以及内置文件上传和系统年表创建等。</w:t>
            </w:r>
          </w:p>
        </w:tc>
      </w:tr>
      <w:tr w14:paraId="07E5B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18DD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权限控制</w:t>
            </w:r>
          </w:p>
        </w:tc>
        <w:tc>
          <w:tcPr>
            <w:tcW w:w="1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9E9E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用户管理</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F9A1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维护用户信息，如已部署一体化运营平台则由平台统一管理用户。</w:t>
            </w:r>
          </w:p>
        </w:tc>
      </w:tr>
      <w:tr w14:paraId="74B3C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AC08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p>
        </w:tc>
        <w:tc>
          <w:tcPr>
            <w:tcW w:w="1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4327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权限管理</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D331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配置用户对各类数据查看和操作的权限，目前包括中间数据权限，考核指标权限、部门权限、总院权限等。</w:t>
            </w:r>
          </w:p>
        </w:tc>
      </w:tr>
      <w:tr w14:paraId="15811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5017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p>
        </w:tc>
        <w:tc>
          <w:tcPr>
            <w:tcW w:w="1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44F7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角色管理</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5AF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维护角色信息。</w:t>
            </w:r>
          </w:p>
        </w:tc>
      </w:tr>
      <w:tr w14:paraId="32B84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6A89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p>
        </w:tc>
        <w:tc>
          <w:tcPr>
            <w:tcW w:w="1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B66E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菜单管理</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5373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维护菜单信息。</w:t>
            </w:r>
          </w:p>
        </w:tc>
      </w:tr>
      <w:tr w14:paraId="0C05B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A2AB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p>
        </w:tc>
        <w:tc>
          <w:tcPr>
            <w:tcW w:w="1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2336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用户科室访问权限</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34F2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设置用户可在不同模块访问不同核算单元。</w:t>
            </w:r>
          </w:p>
        </w:tc>
      </w:tr>
      <w:tr w14:paraId="7D749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2EB0D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报表分析</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E142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科室绩效</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B9CD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查看各个科室绩效核算结果，并支持查看各个科室核算结果构成情况。</w:t>
            </w:r>
          </w:p>
        </w:tc>
      </w:tr>
      <w:tr w14:paraId="0326A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F199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F910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个人绩效</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7779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查看各个职员绩效核算结果，并支持查看各个职员核算结果构成情况。</w:t>
            </w:r>
          </w:p>
        </w:tc>
      </w:tr>
      <w:tr w14:paraId="2A465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15FE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7AE5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科室工作量报表</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D685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查看各个科室工作量工分情况，如RBRVS工分、成本控制分、病种工分等。</w:t>
            </w:r>
          </w:p>
        </w:tc>
      </w:tr>
      <w:tr w14:paraId="50CDF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92EF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3297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个人工作量报表</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E5CF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查看各个职员工作量工分情况，如RBRVS工分、成本控制分、病种工分等。</w:t>
            </w:r>
          </w:p>
        </w:tc>
      </w:tr>
      <w:tr w14:paraId="3A7AB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5906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9D00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历史数据对比</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E6C3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可导入历史数据，用</w:t>
            </w:r>
            <w:r>
              <w:rPr>
                <w:rFonts w:hint="eastAsia" w:ascii="方正仿宋_GB2312" w:hAnsi="方正仿宋_GB2312" w:eastAsia="方正仿宋_GB2312" w:cs="方正仿宋_GB2312"/>
                <w:u w:val="none"/>
                <w:lang w:val="en-US" w:eastAsia="zh-CN"/>
              </w:rPr>
              <w:t>于比较当前</w:t>
            </w:r>
            <w:r>
              <w:rPr>
                <w:rFonts w:hint="eastAsia" w:ascii="方正仿宋_GB2312" w:hAnsi="方正仿宋_GB2312" w:eastAsia="方正仿宋_GB2312" w:cs="方正仿宋_GB2312"/>
                <w:lang w:val="en-US" w:eastAsia="zh-CN"/>
              </w:rPr>
              <w:t>绩效核算结果与历史数据的差异情况，方便调整方案的合理性。</w:t>
            </w:r>
          </w:p>
        </w:tc>
      </w:tr>
      <w:tr w14:paraId="27C00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295D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1CC7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科室间数据分析</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1D8F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用于比较各个科室各指标的情况，如RBRVS工分、病种工分等。</w:t>
            </w:r>
          </w:p>
        </w:tc>
      </w:tr>
      <w:tr w14:paraId="49956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AA7A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F765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科室内数据分析</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0429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用于比较同一科室不同时间段的指标情况，如RBRVS工分、病种工分等。</w:t>
            </w:r>
          </w:p>
        </w:tc>
      </w:tr>
      <w:tr w14:paraId="2DECA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D53F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74F0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历史绩效对比</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F5F9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用于对比医院历史绩效结果与当前绩效结果之前的情况。</w:t>
            </w:r>
          </w:p>
        </w:tc>
      </w:tr>
      <w:tr w14:paraId="5AFB4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6666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BBBC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工作量分析</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DACA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用于展示工作量情况数据。</w:t>
            </w:r>
          </w:p>
        </w:tc>
      </w:tr>
      <w:tr w14:paraId="2C7A6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F19F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44B1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绩效收入成本分析</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BD62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用于收入成本结果分析。</w:t>
            </w:r>
          </w:p>
        </w:tc>
      </w:tr>
      <w:tr w14:paraId="61570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1381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15C2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监测预警</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3EE7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用于展示绩效系统总体情况。</w:t>
            </w:r>
          </w:p>
        </w:tc>
      </w:tr>
      <w:tr w14:paraId="4C779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0536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3B99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标量分波段检测</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1763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对绩效、成本、工作量活中间数据进行波动检测。</w:t>
            </w:r>
          </w:p>
        </w:tc>
      </w:tr>
      <w:tr w14:paraId="4427F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57CA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F115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自定义报表</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12DA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用户根据需要自定义定制报表。</w:t>
            </w:r>
          </w:p>
        </w:tc>
      </w:tr>
      <w:tr w14:paraId="0B467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9"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D81B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其他</w:t>
            </w:r>
          </w:p>
        </w:tc>
        <w:tc>
          <w:tcPr>
            <w:tcW w:w="71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5EBB7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本</w:t>
            </w:r>
            <w:r>
              <w:rPr>
                <w:rFonts w:hint="eastAsia" w:ascii="方正仿宋_GB2312" w:hAnsi="方正仿宋_GB2312" w:eastAsia="方正仿宋_GB2312" w:cs="方正仿宋_GB2312"/>
                <w:color w:val="auto"/>
                <w:lang w:val="en-US" w:eastAsia="zh-CN"/>
              </w:rPr>
              <w:t>系统与</w:t>
            </w:r>
            <w:r>
              <w:rPr>
                <w:rFonts w:hint="eastAsia" w:ascii="方正仿宋_GB2312" w:hAnsi="方正仿宋_GB2312" w:eastAsia="方正仿宋_GB2312" w:cs="方正仿宋_GB2312"/>
                <w:color w:val="auto"/>
                <w:u w:val="none"/>
                <w:lang w:val="en-US" w:eastAsia="zh-CN"/>
              </w:rPr>
              <w:t>医院</w:t>
            </w:r>
            <w:r>
              <w:rPr>
                <w:rFonts w:hint="eastAsia" w:ascii="方正仿宋_GB2312" w:hAnsi="方正仿宋_GB2312" w:eastAsia="方正仿宋_GB2312" w:cs="方正仿宋_GB2312"/>
                <w:color w:val="auto"/>
                <w:lang w:val="en-US" w:eastAsia="zh-CN"/>
              </w:rPr>
              <w:t>现有信息系统之间对接产生的费用由商家（生产厂商）负责支付，</w:t>
            </w:r>
            <w:r>
              <w:rPr>
                <w:rFonts w:hint="eastAsia" w:ascii="方正仿宋_GB2312" w:hAnsi="方正仿宋_GB2312" w:eastAsia="方正仿宋_GB2312" w:cs="方正仿宋_GB2312"/>
                <w:color w:val="auto"/>
                <w:u w:val="none"/>
                <w:lang w:val="en-US" w:eastAsia="zh-CN"/>
              </w:rPr>
              <w:t>医院</w:t>
            </w:r>
            <w:r>
              <w:rPr>
                <w:rFonts w:hint="eastAsia" w:ascii="方正仿宋_GB2312" w:hAnsi="方正仿宋_GB2312" w:eastAsia="方正仿宋_GB2312" w:cs="方正仿宋_GB2312"/>
                <w:color w:val="auto"/>
                <w:lang w:val="en-US" w:eastAsia="zh-CN"/>
              </w:rPr>
              <w:t>不再另行支付。</w:t>
            </w:r>
          </w:p>
        </w:tc>
      </w:tr>
    </w:tbl>
    <w:p w14:paraId="72AE36E2">
      <w:pPr>
        <w:keepNext w:val="0"/>
        <w:keepLines w:val="0"/>
        <w:pageBreakBefore w:val="0"/>
        <w:widowControl w:val="0"/>
        <w:kinsoku/>
        <w:wordWrap/>
        <w:overflowPunct/>
        <w:topLinePunct w:val="0"/>
        <w:autoSpaceDE/>
        <w:autoSpaceDN/>
        <w:bidi w:val="0"/>
        <w:adjustRightInd/>
        <w:snapToGrid/>
        <w:spacing w:line="578" w:lineRule="exact"/>
        <w:rPr>
          <w:rFonts w:hint="eastAsia" w:ascii="微软雅黑" w:hAnsi="微软雅黑" w:eastAsia="微软雅黑" w:cs="微软雅黑"/>
          <w:lang w:eastAsia="zh-CN"/>
        </w:rPr>
      </w:pPr>
    </w:p>
    <w:sectPr>
      <w:pgSz w:w="11906" w:h="16838"/>
      <w:pgMar w:top="2154" w:right="1474"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6FEE6FF-54D1-4B12-A515-116F3B8C4E6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2" w:fontKey="{092D04D4-F0AA-4C5D-9B7F-82EE75532E46}"/>
  </w:font>
  <w:font w:name="微软雅黑">
    <w:panose1 w:val="020B0503020204020204"/>
    <w:charset w:val="86"/>
    <w:family w:val="auto"/>
    <w:pitch w:val="default"/>
    <w:sig w:usb0="80000287" w:usb1="2ACF3C50" w:usb2="00000016" w:usb3="00000000" w:csb0="0004001F" w:csb1="00000000"/>
    <w:embedRegular r:id="rId3" w:fontKey="{E23AE45E-D660-409E-BC1D-1E7E80C348EC}"/>
  </w:font>
  <w:font w:name="方正仿宋_GB2312">
    <w:panose1 w:val="02000000000000000000"/>
    <w:charset w:val="86"/>
    <w:family w:val="auto"/>
    <w:pitch w:val="default"/>
    <w:sig w:usb0="A00002BF" w:usb1="184F6CFA" w:usb2="00000012" w:usb3="00000000" w:csb0="00040001" w:csb1="00000000"/>
    <w:embedRegular r:id="rId4" w:fontKey="{5F77B505-1710-4561-BD1D-9CF753F47037}"/>
  </w:font>
  <w:font w:name="楷体">
    <w:panose1 w:val="02010609060101010101"/>
    <w:charset w:val="86"/>
    <w:family w:val="auto"/>
    <w:pitch w:val="default"/>
    <w:sig w:usb0="800002BF" w:usb1="38CF7CFA" w:usb2="00000016" w:usb3="00000000" w:csb0="00040001" w:csb1="00000000"/>
    <w:embedRegular r:id="rId5" w:fontKey="{EAAC4429-0DC2-4A37-A184-AF3E0BDFC06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5043A5"/>
    <w:multiLevelType w:val="multilevel"/>
    <w:tmpl w:val="125043A5"/>
    <w:lvl w:ilvl="0" w:tentative="0">
      <w:start w:val="1"/>
      <w:numFmt w:val="chineseCountingThousand"/>
      <w:pStyle w:val="4"/>
      <w:suff w:val="space"/>
      <w:lvlText w:val="%1、"/>
      <w:lvlJc w:val="left"/>
      <w:pPr>
        <w:ind w:left="0" w:firstLine="0"/>
      </w:pPr>
      <w:rPr>
        <w:rFonts w:hint="eastAsia"/>
      </w:rPr>
    </w:lvl>
    <w:lvl w:ilvl="1" w:tentative="0">
      <w:start w:val="1"/>
      <w:numFmt w:val="decimal"/>
      <w:pStyle w:val="5"/>
      <w:isLgl/>
      <w:suff w:val="space"/>
      <w:lvlText w:val="%1.%2"/>
      <w:lvlJc w:val="left"/>
      <w:pPr>
        <w:ind w:left="284" w:firstLine="0"/>
      </w:pPr>
      <w:rPr>
        <w:rFonts w:hint="eastAsia"/>
      </w:rPr>
    </w:lvl>
    <w:lvl w:ilvl="2" w:tentative="0">
      <w:start w:val="1"/>
      <w:numFmt w:val="decimal"/>
      <w:isLgl/>
      <w:suff w:val="space"/>
      <w:lvlText w:val="%1.%2.%3"/>
      <w:lvlJc w:val="left"/>
      <w:pPr>
        <w:ind w:left="0" w:firstLine="0"/>
      </w:pPr>
      <w:rPr>
        <w:rFonts w:hint="eastAsia"/>
      </w:rPr>
    </w:lvl>
    <w:lvl w:ilvl="3" w:tentative="0">
      <w:start w:val="1"/>
      <w:numFmt w:val="decimal"/>
      <w:isLgl/>
      <w:suff w:val="space"/>
      <w:lvlText w:val="%1.%2.%3.%4"/>
      <w:lvlJc w:val="left"/>
      <w:pPr>
        <w:ind w:left="0" w:firstLine="0"/>
      </w:pPr>
      <w:rPr>
        <w:rFonts w:hint="eastAsia"/>
      </w:rPr>
    </w:lvl>
    <w:lvl w:ilvl="4" w:tentative="0">
      <w:start w:val="1"/>
      <w:numFmt w:val="decimal"/>
      <w:isLgl/>
      <w:suff w:val="space"/>
      <w:lvlText w:val="%1.%2.%3.%4.%5"/>
      <w:lvlJc w:val="left"/>
      <w:pPr>
        <w:ind w:left="0" w:firstLine="0"/>
      </w:pPr>
      <w:rPr>
        <w:rFonts w:hint="eastAsia"/>
      </w:rPr>
    </w:lvl>
    <w:lvl w:ilvl="5" w:tentative="0">
      <w:start w:val="1"/>
      <w:numFmt w:val="decimal"/>
      <w:isLgl/>
      <w:suff w:val="space"/>
      <w:lvlText w:val="%1.%2.%3.%4.%5.%6"/>
      <w:lvlJc w:val="left"/>
      <w:pPr>
        <w:ind w:left="0" w:firstLine="0"/>
      </w:pPr>
      <w:rPr>
        <w:rFonts w:hint="eastAsia"/>
      </w:rPr>
    </w:lvl>
    <w:lvl w:ilvl="6" w:tentative="0">
      <w:start w:val="1"/>
      <w:numFmt w:val="decimal"/>
      <w:isLgl/>
      <w:suff w:val="space"/>
      <w:lvlText w:val="%1.%2.%3.%4.%5.%6.%7"/>
      <w:lvlJc w:val="left"/>
      <w:pPr>
        <w:ind w:left="0" w:firstLine="0"/>
      </w:pPr>
      <w:rPr>
        <w:rFonts w:hint="eastAsia"/>
      </w:rPr>
    </w:lvl>
    <w:lvl w:ilvl="7" w:tentative="0">
      <w:start w:val="1"/>
      <w:numFmt w:val="decimal"/>
      <w:isLgl/>
      <w:suff w:val="space"/>
      <w:lvlText w:val="%1.%2.%3.%4.%5.%6.%7.%8"/>
      <w:lvlJc w:val="left"/>
      <w:pPr>
        <w:ind w:left="0" w:firstLine="0"/>
      </w:pPr>
      <w:rPr>
        <w:rFonts w:hint="eastAsia"/>
      </w:rPr>
    </w:lvl>
    <w:lvl w:ilvl="8" w:tentative="0">
      <w:start w:val="1"/>
      <w:numFmt w:val="decimal"/>
      <w:isLgl/>
      <w:suff w:val="space"/>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71C73"/>
    <w:rsid w:val="00FB761D"/>
    <w:rsid w:val="061F2E9B"/>
    <w:rsid w:val="09CB4CD3"/>
    <w:rsid w:val="0CF4371C"/>
    <w:rsid w:val="0E9B4435"/>
    <w:rsid w:val="1E233797"/>
    <w:rsid w:val="20E765ED"/>
    <w:rsid w:val="239669EF"/>
    <w:rsid w:val="25F442F8"/>
    <w:rsid w:val="286965C3"/>
    <w:rsid w:val="29926845"/>
    <w:rsid w:val="29DB32AA"/>
    <w:rsid w:val="2A245F3C"/>
    <w:rsid w:val="2C1720CB"/>
    <w:rsid w:val="2C19085B"/>
    <w:rsid w:val="300F6527"/>
    <w:rsid w:val="314F17B4"/>
    <w:rsid w:val="383438BF"/>
    <w:rsid w:val="3ADA779E"/>
    <w:rsid w:val="3E4405D4"/>
    <w:rsid w:val="41B25FAF"/>
    <w:rsid w:val="464C18A6"/>
    <w:rsid w:val="49CB74CA"/>
    <w:rsid w:val="4B497FB2"/>
    <w:rsid w:val="4B5331BE"/>
    <w:rsid w:val="505C0F78"/>
    <w:rsid w:val="52CD3488"/>
    <w:rsid w:val="53DC7D0F"/>
    <w:rsid w:val="57571CD8"/>
    <w:rsid w:val="598E4F31"/>
    <w:rsid w:val="5FBC1A20"/>
    <w:rsid w:val="5FCC68F2"/>
    <w:rsid w:val="61BB6F5F"/>
    <w:rsid w:val="675932C8"/>
    <w:rsid w:val="694B04B6"/>
    <w:rsid w:val="695579BE"/>
    <w:rsid w:val="6B034F2F"/>
    <w:rsid w:val="6D5E670D"/>
    <w:rsid w:val="6D626847"/>
    <w:rsid w:val="70666005"/>
    <w:rsid w:val="7CC320EC"/>
    <w:rsid w:val="7EBA7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9"/>
    <w:pPr>
      <w:keepNext/>
      <w:keepLines/>
      <w:numPr>
        <w:ilvl w:val="0"/>
        <w:numId w:val="1"/>
      </w:numPr>
      <w:spacing w:before="160" w:after="160"/>
      <w:ind w:firstLineChars="0"/>
      <w:outlineLvl w:val="0"/>
    </w:pPr>
    <w:rPr>
      <w:b/>
      <w:bCs/>
      <w:kern w:val="44"/>
      <w:sz w:val="32"/>
      <w:szCs w:val="44"/>
    </w:rPr>
  </w:style>
  <w:style w:type="paragraph" w:styleId="5">
    <w:name w:val="heading 2"/>
    <w:basedOn w:val="1"/>
    <w:next w:val="1"/>
    <w:qFormat/>
    <w:uiPriority w:val="1"/>
    <w:pPr>
      <w:keepNext/>
      <w:keepLines/>
      <w:numPr>
        <w:ilvl w:val="1"/>
        <w:numId w:val="1"/>
      </w:numPr>
      <w:spacing w:before="160" w:after="160"/>
      <w:ind w:left="0" w:firstLineChars="0"/>
      <w:outlineLvl w:val="1"/>
    </w:pPr>
    <w:rPr>
      <w:b/>
      <w:bCs/>
      <w:sz w:val="30"/>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99"/>
    <w:pPr>
      <w:spacing w:line="275" w:lineRule="atLeast"/>
      <w:textAlignment w:val="baseline"/>
    </w:pPr>
    <w:rPr>
      <w:rFonts w:ascii="Times New Roman" w:hAnsi="Times New Roman" w:eastAsia="宋体"/>
      <w:kern w:val="0"/>
      <w:szCs w:val="24"/>
    </w:rPr>
  </w:style>
  <w:style w:type="paragraph" w:styleId="3">
    <w:name w:val="Body Text"/>
    <w:basedOn w:val="1"/>
    <w:next w:val="1"/>
    <w:qFormat/>
    <w:uiPriority w:val="0"/>
    <w:pPr>
      <w:ind w:firstLine="0" w:firstLineChars="0"/>
    </w:pPr>
    <w:rPr>
      <w:rFonts w:ascii="楷体_GB2312" w:hAnsi="Arial" w:eastAsia="楷体_GB2312"/>
      <w:sz w:val="28"/>
      <w:szCs w:val="2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0">
    <w:name w:val="font01"/>
    <w:basedOn w:val="9"/>
    <w:qFormat/>
    <w:uiPriority w:val="0"/>
    <w:rPr>
      <w:rFonts w:hint="eastAsia" w:ascii="宋体" w:hAnsi="宋体" w:eastAsia="宋体" w:cs="宋体"/>
      <w:color w:val="000000"/>
      <w:sz w:val="22"/>
      <w:szCs w:val="22"/>
      <w:u w:val="none"/>
    </w:rPr>
  </w:style>
  <w:style w:type="character" w:customStyle="1" w:styleId="11">
    <w:name w:val="font21"/>
    <w:basedOn w:val="9"/>
    <w:qFormat/>
    <w:uiPriority w:val="0"/>
    <w:rPr>
      <w:rFonts w:hint="eastAsia" w:ascii="宋体" w:hAnsi="宋体" w:eastAsia="宋体" w:cs="宋体"/>
      <w:color w:val="000000"/>
      <w:sz w:val="21"/>
      <w:szCs w:val="21"/>
      <w:u w:val="none"/>
    </w:rPr>
  </w:style>
  <w:style w:type="character" w:customStyle="1" w:styleId="12">
    <w:name w:val="font41"/>
    <w:basedOn w:val="9"/>
    <w:qFormat/>
    <w:uiPriority w:val="0"/>
    <w:rPr>
      <w:rFonts w:hint="default" w:ascii="Times New Roman" w:hAnsi="Times New Roman" w:cs="Times New Roman"/>
      <w:color w:val="000000"/>
      <w:sz w:val="21"/>
      <w:szCs w:val="21"/>
      <w:u w:val="none"/>
    </w:rPr>
  </w:style>
  <w:style w:type="character" w:customStyle="1" w:styleId="13">
    <w:name w:val="font31"/>
    <w:basedOn w:val="9"/>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4891</Words>
  <Characters>5028</Characters>
  <Lines>0</Lines>
  <Paragraphs>0</Paragraphs>
  <TotalTime>8</TotalTime>
  <ScaleCrop>false</ScaleCrop>
  <LinksUpToDate>false</LinksUpToDate>
  <CharactersWithSpaces>5032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2024-04-03T06:22:00Z</dcterms:created>
  <dc:creator>Lenovo</dc:creator>
  <cp:lastModifiedBy>肖义</cp:lastModifiedBy>
  <cp:lastPrinted>2026-03-05T06:38:00Z</cp:lastPrinted>
  <dcterms:modified xsi:type="dcterms:W3CDTF">2026-03-06T07:39:27Z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F42E74EB71E14167A8D45E837134A4A4_13</vt:lpwstr>
  </property>
  <property fmtid="{D5CDD505-2E9C-101B-9397-08002B2CF9AE}" pid="4" name="KSOTemplateDocerSaveRecord">
    <vt:lpwstr>eyJoZGlkIjoiNzhiMDllY2NlNzYwNGU5OWM0ZTk5M2Q1ZGZkMWI1MzEiLCJ1c2VySWQiOiIxMTM0MTIxMDE5In0=</vt:lpwstr>
  </property>
</Properties>
</file>