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48E1" w14:textId="77777777" w:rsidR="005B1AF4" w:rsidRDefault="00000000">
      <w:pPr>
        <w:jc w:val="center"/>
        <w:rPr>
          <w:rFonts w:ascii="微软雅黑" w:eastAsia="微软雅黑" w:hAnsi="微软雅黑" w:cs="微软雅黑" w:hint="eastAsia"/>
          <w:b/>
          <w:bCs/>
          <w:sz w:val="44"/>
          <w:szCs w:val="44"/>
        </w:rPr>
      </w:pPr>
      <w:bookmarkStart w:id="0" w:name="_Toc418479672"/>
      <w:bookmarkStart w:id="1" w:name="hp_TitlePage"/>
      <w:r>
        <w:rPr>
          <w:rFonts w:ascii="微软雅黑" w:eastAsia="微软雅黑" w:hAnsi="微软雅黑" w:cs="微软雅黑" w:hint="eastAsia"/>
          <w:b/>
          <w:bCs/>
          <w:sz w:val="44"/>
          <w:szCs w:val="44"/>
        </w:rPr>
        <w:t>四川省艾滋病抗病毒治疗智慧管理平台</w:t>
      </w:r>
    </w:p>
    <w:p w14:paraId="6572517C" w14:textId="77777777" w:rsidR="005B1AF4" w:rsidRDefault="00000000">
      <w:pPr>
        <w:jc w:val="center"/>
        <w:rPr>
          <w:rFonts w:ascii="微软雅黑" w:eastAsia="微软雅黑" w:hAnsi="微软雅黑" w:cs="微软雅黑" w:hint="eastAsia"/>
          <w:b/>
          <w:bCs/>
          <w:sz w:val="44"/>
          <w:szCs w:val="44"/>
        </w:rPr>
      </w:pPr>
      <w:r>
        <w:rPr>
          <w:rFonts w:ascii="微软雅黑" w:eastAsia="微软雅黑" w:hAnsi="微软雅黑" w:cs="微软雅黑" w:hint="eastAsia"/>
          <w:b/>
          <w:bCs/>
          <w:sz w:val="44"/>
          <w:szCs w:val="44"/>
        </w:rPr>
        <w:t>升级改造项目需求</w:t>
      </w:r>
    </w:p>
    <w:bookmarkEnd w:id="0"/>
    <w:bookmarkEnd w:id="1"/>
    <w:p w14:paraId="225A4D77" w14:textId="77777777" w:rsidR="005B1AF4" w:rsidRDefault="00000000">
      <w:pPr>
        <w:pStyle w:val="1"/>
        <w:spacing w:line="400" w:lineRule="exact"/>
        <w:rPr>
          <w:rFonts w:ascii="微软雅黑" w:eastAsia="微软雅黑" w:hAnsi="微软雅黑" w:cs="微软雅黑" w:hint="eastAsia"/>
          <w:b/>
          <w:bCs/>
          <w:color w:val="auto"/>
          <w:sz w:val="24"/>
          <w:szCs w:val="24"/>
        </w:rPr>
      </w:pPr>
      <w:r>
        <w:rPr>
          <w:rFonts w:ascii="微软雅黑" w:eastAsia="微软雅黑" w:hAnsi="微软雅黑" w:cs="微软雅黑" w:hint="eastAsia"/>
          <w:b/>
          <w:bCs/>
          <w:color w:val="auto"/>
          <w:sz w:val="24"/>
          <w:szCs w:val="24"/>
        </w:rPr>
        <w:t>一、项目背景与建设目标</w:t>
      </w:r>
    </w:p>
    <w:p w14:paraId="7D5A98A1" w14:textId="77777777" w:rsidR="005B1AF4" w:rsidRDefault="00000000">
      <w:pPr>
        <w:spacing w:line="400" w:lineRule="exact"/>
        <w:rPr>
          <w:rFonts w:ascii="微软雅黑" w:eastAsia="微软雅黑" w:hAnsi="微软雅黑" w:cs="微软雅黑" w:hint="eastAsia"/>
          <w:sz w:val="24"/>
          <w:szCs w:val="24"/>
        </w:rPr>
      </w:pPr>
      <w:r>
        <w:rPr>
          <w:rStyle w:val="20"/>
          <w:rFonts w:ascii="微软雅黑" w:eastAsia="微软雅黑" w:hAnsi="微软雅黑" w:cs="微软雅黑" w:hint="eastAsia"/>
          <w:b/>
          <w:bCs/>
          <w:color w:val="auto"/>
          <w:sz w:val="24"/>
          <w:szCs w:val="24"/>
        </w:rPr>
        <w:t>1.项目背景</w:t>
      </w:r>
      <w:r>
        <w:rPr>
          <w:rFonts w:ascii="微软雅黑" w:eastAsia="微软雅黑" w:hAnsi="微软雅黑" w:cs="微软雅黑" w:hint="eastAsia"/>
          <w:sz w:val="24"/>
          <w:szCs w:val="24"/>
        </w:rPr>
        <w:br/>
        <w:t xml:space="preserve">  我院现有的四川省艾滋病抗病毒治疗智慧管理平台自2019年上线，已运行超过6年，随着业务量激增、管理要求精细化及信创政策要求，原有架构在统一运维、跨机构访问、数据统计时效性、安全合规等方面已出现明显瓶颈，难以支撑未来业务发展。</w:t>
      </w:r>
    </w:p>
    <w:p w14:paraId="179E66DB" w14:textId="77777777" w:rsidR="005B1AF4" w:rsidRDefault="00000000">
      <w:pPr>
        <w:pStyle w:val="2"/>
        <w:spacing w:before="0" w:line="400" w:lineRule="exact"/>
        <w:rPr>
          <w:rFonts w:ascii="微软雅黑" w:eastAsia="微软雅黑" w:hAnsi="微软雅黑" w:cs="微软雅黑" w:hint="eastAsia"/>
          <w:b/>
          <w:bCs/>
          <w:color w:val="auto"/>
          <w:sz w:val="24"/>
          <w:szCs w:val="24"/>
        </w:rPr>
      </w:pPr>
      <w:r>
        <w:rPr>
          <w:rFonts w:ascii="微软雅黑" w:eastAsia="微软雅黑" w:hAnsi="微软雅黑" w:cs="微软雅黑" w:hint="eastAsia"/>
          <w:b/>
          <w:bCs/>
          <w:color w:val="auto"/>
          <w:sz w:val="24"/>
          <w:szCs w:val="24"/>
        </w:rPr>
        <w:t>2.项目必要性及特殊性</w:t>
      </w:r>
    </w:p>
    <w:p w14:paraId="63CAD2FC" w14:textId="77777777" w:rsidR="005B1AF4" w:rsidRDefault="00000000">
      <w:pPr>
        <w:spacing w:line="40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sz w:val="24"/>
          <w:szCs w:val="24"/>
        </w:rPr>
        <w:t>2.1政策合规性</w:t>
      </w:r>
    </w:p>
    <w:p w14:paraId="28AB2C34" w14:textId="77777777" w:rsidR="005B1AF4" w:rsidRDefault="00000000">
      <w:pPr>
        <w:spacing w:line="40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sz w:val="24"/>
          <w:szCs w:val="24"/>
        </w:rPr>
        <w:t>为响应国家信息技术应用创新战略及《数据安全法》、《个人信息保护法》要求，需完成国产化适配与国密算法改造，确保系统在自主可控、安全合规方面符合国家和行业最新标准，为未来全面信创环境部署奠定基础。</w:t>
      </w:r>
    </w:p>
    <w:p w14:paraId="248E34B3" w14:textId="77777777" w:rsidR="005B1AF4" w:rsidRDefault="00000000">
      <w:pPr>
        <w:spacing w:line="40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sz w:val="24"/>
          <w:szCs w:val="24"/>
        </w:rPr>
        <w:t>2.2业务特殊性</w:t>
      </w:r>
    </w:p>
    <w:p w14:paraId="32DC9788" w14:textId="77777777" w:rsidR="005B1AF4" w:rsidRDefault="00000000">
      <w:pPr>
        <w:spacing w:line="40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sz w:val="24"/>
          <w:szCs w:val="24"/>
        </w:rPr>
        <w:t>四川省艾滋病抗病毒治疗智慧管理平台是重大公共卫生项目，涉及患者全生命周期管理，数据敏感度极高，对系统的稳定性、数据安全性、操作留痕可追溯性有高于一般系统的要求。任何数据泄露或系统中断都可能引发严重的公共卫生事件和舆情风险。</w:t>
      </w:r>
    </w:p>
    <w:p w14:paraId="49788E42" w14:textId="77777777" w:rsidR="005B1AF4" w:rsidRDefault="00000000">
      <w:pPr>
        <w:spacing w:line="40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sz w:val="24"/>
          <w:szCs w:val="24"/>
        </w:rPr>
        <w:t>2.3管理必要性</w:t>
      </w:r>
    </w:p>
    <w:p w14:paraId="53AE0A2E" w14:textId="77777777" w:rsidR="005B1AF4" w:rsidRDefault="00000000">
      <w:pPr>
        <w:spacing w:line="400" w:lineRule="exact"/>
        <w:ind w:firstLineChars="200" w:firstLine="480"/>
        <w:rPr>
          <w:rFonts w:ascii="微软雅黑" w:eastAsia="微软雅黑" w:hAnsi="微软雅黑" w:cs="微软雅黑" w:hint="eastAsia"/>
          <w:sz w:val="24"/>
          <w:szCs w:val="24"/>
        </w:rPr>
      </w:pPr>
      <w:r>
        <w:rPr>
          <w:rFonts w:ascii="微软雅黑" w:eastAsia="微软雅黑" w:hAnsi="微软雅黑" w:cs="微软雅黑" w:hint="eastAsia"/>
          <w:sz w:val="24"/>
          <w:szCs w:val="24"/>
        </w:rPr>
        <w:t>原系统架构“版本碎片化”、“数据孤岛”和“运维高成本”等问题日益突出，已严重影响业务管理效率与决策支持能力，急需升级改造。</w:t>
      </w:r>
    </w:p>
    <w:p w14:paraId="4A4631F0" w14:textId="77777777" w:rsidR="005B1AF4" w:rsidRDefault="00000000">
      <w:pPr>
        <w:spacing w:line="400" w:lineRule="exact"/>
        <w:rPr>
          <w:rFonts w:ascii="微软雅黑" w:eastAsia="微软雅黑" w:hAnsi="微软雅黑" w:cs="微软雅黑" w:hint="eastAsia"/>
          <w:sz w:val="24"/>
          <w:szCs w:val="24"/>
        </w:rPr>
      </w:pPr>
      <w:r>
        <w:rPr>
          <w:rStyle w:val="20"/>
          <w:rFonts w:ascii="微软雅黑" w:eastAsia="微软雅黑" w:hAnsi="微软雅黑" w:cs="微软雅黑" w:hint="eastAsia"/>
          <w:b/>
          <w:bCs/>
          <w:color w:val="auto"/>
          <w:sz w:val="24"/>
          <w:szCs w:val="24"/>
        </w:rPr>
        <w:t>3.建设目标</w:t>
      </w:r>
      <w:r>
        <w:rPr>
          <w:rFonts w:ascii="微软雅黑" w:eastAsia="微软雅黑" w:hAnsi="微软雅黑" w:cs="微软雅黑" w:hint="eastAsia"/>
          <w:sz w:val="24"/>
          <w:szCs w:val="24"/>
        </w:rPr>
        <w:br/>
        <w:t xml:space="preserve">   本项目旨在将系统从C/S架构全面升级为B/S架构，实现“统一部署、统一维护、统一管理、统一安全”。重点解决原有系统在运维管理、数据一致性、统计分析及安全合规方面的痛点，构建一个高性能、高安全、易扩展的智慧管理平台，并满足完成国密算法在身份认证、数据传输、数据存储等关键环节的要求。</w:t>
      </w:r>
    </w:p>
    <w:p w14:paraId="4A5F9E6F" w14:textId="77777777" w:rsidR="0009727A" w:rsidRDefault="0009727A">
      <w:pPr>
        <w:spacing w:line="400" w:lineRule="exact"/>
        <w:rPr>
          <w:rFonts w:ascii="微软雅黑" w:eastAsia="微软雅黑" w:hAnsi="微软雅黑" w:cs="微软雅黑" w:hint="eastAsia"/>
          <w:sz w:val="24"/>
          <w:szCs w:val="24"/>
        </w:rPr>
      </w:pPr>
    </w:p>
    <w:p w14:paraId="32188BE2" w14:textId="77777777" w:rsidR="0009727A" w:rsidRDefault="0009727A">
      <w:pPr>
        <w:spacing w:line="400" w:lineRule="exact"/>
        <w:rPr>
          <w:rFonts w:ascii="微软雅黑" w:eastAsia="微软雅黑" w:hAnsi="微软雅黑" w:cs="微软雅黑" w:hint="eastAsia"/>
          <w:sz w:val="24"/>
          <w:szCs w:val="24"/>
        </w:rPr>
      </w:pPr>
    </w:p>
    <w:p w14:paraId="0FB6B593" w14:textId="77777777" w:rsidR="0009727A" w:rsidRDefault="0009727A">
      <w:pPr>
        <w:spacing w:line="400" w:lineRule="exact"/>
        <w:rPr>
          <w:rFonts w:ascii="微软雅黑" w:eastAsia="微软雅黑" w:hAnsi="微软雅黑" w:cs="微软雅黑" w:hint="eastAsia"/>
          <w:sz w:val="24"/>
          <w:szCs w:val="24"/>
        </w:rPr>
      </w:pPr>
    </w:p>
    <w:p w14:paraId="666896C9" w14:textId="77777777" w:rsidR="0009727A" w:rsidRDefault="0009727A">
      <w:pPr>
        <w:spacing w:line="400" w:lineRule="exact"/>
        <w:rPr>
          <w:rFonts w:ascii="微软雅黑" w:eastAsia="微软雅黑" w:hAnsi="微软雅黑" w:cs="微软雅黑" w:hint="eastAsia"/>
          <w:sz w:val="24"/>
          <w:szCs w:val="24"/>
        </w:rPr>
      </w:pPr>
    </w:p>
    <w:p w14:paraId="2747BC76" w14:textId="77777777" w:rsidR="005B1AF4" w:rsidRDefault="00000000">
      <w:pPr>
        <w:spacing w:line="400" w:lineRule="exact"/>
        <w:rPr>
          <w:rStyle w:val="20"/>
          <w:rFonts w:ascii="微软雅黑" w:eastAsia="微软雅黑" w:hAnsi="微软雅黑" w:cs="微软雅黑" w:hint="eastAsia"/>
          <w:b/>
          <w:bCs/>
          <w:color w:val="auto"/>
          <w:sz w:val="24"/>
          <w:szCs w:val="24"/>
        </w:rPr>
      </w:pPr>
      <w:r>
        <w:rPr>
          <w:rStyle w:val="20"/>
          <w:rFonts w:ascii="微软雅黑" w:eastAsia="微软雅黑" w:hAnsi="微软雅黑" w:cs="微软雅黑" w:hint="eastAsia"/>
          <w:b/>
          <w:bCs/>
          <w:color w:val="auto"/>
          <w:sz w:val="24"/>
          <w:szCs w:val="24"/>
        </w:rPr>
        <w:lastRenderedPageBreak/>
        <w:t>二、详细需求</w:t>
      </w:r>
    </w:p>
    <w:tbl>
      <w:tblPr>
        <w:tblStyle w:val="ad"/>
        <w:tblpPr w:leftFromText="180" w:rightFromText="180" w:vertAnchor="text" w:horzAnchor="page" w:tblpX="1913" w:tblpY="592"/>
        <w:tblOverlap w:val="never"/>
        <w:tblW w:w="8642" w:type="dxa"/>
        <w:tblLook w:val="04A0" w:firstRow="1" w:lastRow="0" w:firstColumn="1" w:lastColumn="0" w:noHBand="0" w:noVBand="1"/>
      </w:tblPr>
      <w:tblGrid>
        <w:gridCol w:w="1555"/>
        <w:gridCol w:w="4252"/>
        <w:gridCol w:w="2835"/>
      </w:tblGrid>
      <w:tr w:rsidR="005B1AF4" w14:paraId="17D67BB6" w14:textId="77777777" w:rsidTr="00F92F8E">
        <w:tc>
          <w:tcPr>
            <w:tcW w:w="1555" w:type="dxa"/>
            <w:vAlign w:val="center"/>
          </w:tcPr>
          <w:p w14:paraId="42DAF4F3"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需求类别</w:t>
            </w:r>
          </w:p>
        </w:tc>
        <w:tc>
          <w:tcPr>
            <w:tcW w:w="4252" w:type="dxa"/>
            <w:vAlign w:val="center"/>
          </w:tcPr>
          <w:p w14:paraId="319AF786"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详细需求描述</w:t>
            </w:r>
          </w:p>
        </w:tc>
        <w:tc>
          <w:tcPr>
            <w:tcW w:w="2835" w:type="dxa"/>
            <w:vAlign w:val="center"/>
          </w:tcPr>
          <w:p w14:paraId="6E8E896C"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厂家（生产厂商）需提供资料</w:t>
            </w:r>
          </w:p>
        </w:tc>
      </w:tr>
      <w:tr w:rsidR="005B1AF4" w14:paraId="27146BD1" w14:textId="77777777" w:rsidTr="00F92F8E">
        <w:tc>
          <w:tcPr>
            <w:tcW w:w="1555" w:type="dxa"/>
            <w:vMerge w:val="restart"/>
            <w:vAlign w:val="center"/>
          </w:tcPr>
          <w:p w14:paraId="77620236"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1. 总体架构与基础要求</w:t>
            </w:r>
          </w:p>
        </w:tc>
        <w:tc>
          <w:tcPr>
            <w:tcW w:w="7087" w:type="dxa"/>
            <w:gridSpan w:val="2"/>
            <w:vAlign w:val="center"/>
          </w:tcPr>
          <w:p w14:paraId="3B6C1B13" w14:textId="77777777" w:rsidR="005B1AF4" w:rsidRDefault="00000000" w:rsidP="00F92F8E">
            <w:pPr>
              <w:adjustRightInd w:val="0"/>
              <w:snapToGrid w:val="0"/>
              <w:spacing w:line="240" w:lineRule="atLeast"/>
              <w:jc w:val="center"/>
              <w:rPr>
                <w:rFonts w:ascii="微软雅黑" w:eastAsia="微软雅黑" w:hAnsi="微软雅黑" w:cs="微软雅黑" w:hint="eastAsia"/>
              </w:rPr>
            </w:pPr>
            <w:r>
              <w:rPr>
                <w:rFonts w:ascii="微软雅黑" w:eastAsia="微软雅黑" w:hAnsi="微软雅黑" w:cs="微软雅黑" w:hint="eastAsia"/>
              </w:rPr>
              <w:t>总体架构升级</w:t>
            </w:r>
          </w:p>
        </w:tc>
      </w:tr>
      <w:tr w:rsidR="005B1AF4" w14:paraId="5B5666BD" w14:textId="77777777" w:rsidTr="00F92F8E">
        <w:tc>
          <w:tcPr>
            <w:tcW w:w="1555" w:type="dxa"/>
            <w:vMerge/>
            <w:vAlign w:val="center"/>
          </w:tcPr>
          <w:p w14:paraId="6B2C49F3"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0968D8C9"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B/S架构改造：系统必须由C/S架构全面升级为B/S架构，通过标准浏览器访问，支持360浏览器、Edge浏览器、QQ浏览器、火狐浏览器、等主流浏览器的最新版本。</w:t>
            </w:r>
          </w:p>
        </w:tc>
        <w:tc>
          <w:tcPr>
            <w:tcW w:w="2835" w:type="dxa"/>
            <w:vAlign w:val="center"/>
          </w:tcPr>
          <w:p w14:paraId="451C0FAA"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提供系统部署架构图，所有终端无需安装任何客户端插件即可使用。</w:t>
            </w:r>
          </w:p>
        </w:tc>
      </w:tr>
      <w:tr w:rsidR="005B1AF4" w14:paraId="5C4334EC" w14:textId="77777777" w:rsidTr="00F92F8E">
        <w:trPr>
          <w:trHeight w:val="1734"/>
        </w:trPr>
        <w:tc>
          <w:tcPr>
            <w:tcW w:w="1555" w:type="dxa"/>
            <w:vMerge/>
            <w:vAlign w:val="center"/>
          </w:tcPr>
          <w:p w14:paraId="0B7BAD51"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03974E24"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信创环境适配：系统需具备在主流国产化软硬件环境（如龙蜥AnolisOS、麒麟等国产操作系统，PolarDB-X、达梦等国产数据库）中平滑部署和稳定运行的能力。</w:t>
            </w:r>
          </w:p>
        </w:tc>
        <w:tc>
          <w:tcPr>
            <w:tcW w:w="2835" w:type="dxa"/>
            <w:vAlign w:val="center"/>
          </w:tcPr>
          <w:p w14:paraId="41028D74"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提供《信创环境适配说明及迁移方案》，并承诺在未来医院部署信创环境时，提供免费的技术支持与适配服务。</w:t>
            </w:r>
          </w:p>
        </w:tc>
      </w:tr>
      <w:tr w:rsidR="005B1AF4" w14:paraId="13F4D0AB" w14:textId="77777777" w:rsidTr="00F92F8E">
        <w:tc>
          <w:tcPr>
            <w:tcW w:w="1555" w:type="dxa"/>
            <w:vMerge w:val="restart"/>
            <w:vAlign w:val="center"/>
          </w:tcPr>
          <w:p w14:paraId="322DCEAA"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2. 核心业务功能</w:t>
            </w:r>
          </w:p>
        </w:tc>
        <w:tc>
          <w:tcPr>
            <w:tcW w:w="7087" w:type="dxa"/>
            <w:gridSpan w:val="2"/>
            <w:vAlign w:val="center"/>
          </w:tcPr>
          <w:p w14:paraId="51F67533" w14:textId="77777777" w:rsidR="005B1AF4" w:rsidRDefault="00000000" w:rsidP="00F92F8E">
            <w:pPr>
              <w:adjustRightInd w:val="0"/>
              <w:snapToGrid w:val="0"/>
              <w:spacing w:line="240" w:lineRule="atLeast"/>
              <w:jc w:val="center"/>
              <w:rPr>
                <w:rFonts w:ascii="微软雅黑" w:eastAsia="微软雅黑" w:hAnsi="微软雅黑" w:cs="微软雅黑" w:hint="eastAsia"/>
              </w:rPr>
            </w:pPr>
            <w:r>
              <w:rPr>
                <w:rFonts w:ascii="微软雅黑" w:eastAsia="微软雅黑" w:hAnsi="微软雅黑" w:cs="微软雅黑" w:hint="eastAsia"/>
              </w:rPr>
              <w:t>功能模块升级</w:t>
            </w:r>
          </w:p>
        </w:tc>
      </w:tr>
      <w:tr w:rsidR="005B1AF4" w14:paraId="7BC61A46" w14:textId="77777777" w:rsidTr="00F92F8E">
        <w:tc>
          <w:tcPr>
            <w:tcW w:w="1555" w:type="dxa"/>
            <w:vMerge/>
            <w:vAlign w:val="center"/>
          </w:tcPr>
          <w:p w14:paraId="138FD77F"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5EB7C846"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模块完整性：系统功能必须全面覆盖9大核心模块：通知公告、患者管理、患者统计、治疗预警、随访检测、处方管理、指标管理、预警管理、用户权限管理。</w:t>
            </w:r>
          </w:p>
        </w:tc>
        <w:tc>
          <w:tcPr>
            <w:tcW w:w="2835" w:type="dxa"/>
            <w:vAlign w:val="center"/>
          </w:tcPr>
          <w:p w14:paraId="5FB74506"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功能清单需与升级要求一致</w:t>
            </w:r>
          </w:p>
        </w:tc>
      </w:tr>
      <w:tr w:rsidR="005B1AF4" w14:paraId="59E7E36D" w14:textId="77777777" w:rsidTr="00F92F8E">
        <w:tc>
          <w:tcPr>
            <w:tcW w:w="1555" w:type="dxa"/>
            <w:vMerge/>
            <w:vAlign w:val="center"/>
          </w:tcPr>
          <w:p w14:paraId="48168129"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00311FD4"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业务流程优化：各业务模块需结合实际管理流程进行优化，例如：</w:t>
            </w:r>
            <w:r>
              <w:rPr>
                <w:rFonts w:ascii="微软雅黑" w:eastAsia="微软雅黑" w:hAnsi="微软雅黑" w:cs="微软雅黑" w:hint="eastAsia"/>
              </w:rPr>
              <w:br/>
              <w:t>1. 预警管理：实现预警规则可配置、预警信息分级推送、处置闭环跟踪。</w:t>
            </w:r>
            <w:r>
              <w:rPr>
                <w:rFonts w:ascii="微软雅黑" w:eastAsia="微软雅黑" w:hAnsi="微软雅黑" w:cs="微软雅黑" w:hint="eastAsia"/>
              </w:rPr>
              <w:br/>
              <w:t>2. 随访检测：支持全过程记录，并能与处方管理、指标管理联动。</w:t>
            </w:r>
          </w:p>
        </w:tc>
        <w:tc>
          <w:tcPr>
            <w:tcW w:w="2835" w:type="dxa"/>
            <w:vAlign w:val="center"/>
          </w:tcPr>
          <w:p w14:paraId="7E5B5283" w14:textId="19559ABE"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针对核心业务流程（如预警处置、随访登记）提供系统界面截图，</w:t>
            </w:r>
            <w:r w:rsidR="00E75683">
              <w:rPr>
                <w:rFonts w:ascii="微软雅黑" w:eastAsia="微软雅黑" w:hAnsi="微软雅黑" w:cs="微软雅黑" w:hint="eastAsia"/>
              </w:rPr>
              <w:t>承诺</w:t>
            </w:r>
            <w:r>
              <w:rPr>
                <w:rFonts w:ascii="微软雅黑" w:eastAsia="微软雅黑" w:hAnsi="微软雅黑" w:cs="微软雅黑" w:hint="eastAsia"/>
              </w:rPr>
              <w:t>流程优化符合医院实际管理要求。</w:t>
            </w:r>
          </w:p>
        </w:tc>
      </w:tr>
      <w:tr w:rsidR="005B1AF4" w14:paraId="1C53D45D" w14:textId="77777777" w:rsidTr="00F92F8E">
        <w:tc>
          <w:tcPr>
            <w:tcW w:w="1555" w:type="dxa"/>
            <w:vMerge w:val="restart"/>
            <w:vAlign w:val="center"/>
          </w:tcPr>
          <w:p w14:paraId="21C848C0"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3. 国密安全改造</w:t>
            </w:r>
          </w:p>
        </w:tc>
        <w:tc>
          <w:tcPr>
            <w:tcW w:w="7087" w:type="dxa"/>
            <w:gridSpan w:val="2"/>
            <w:vAlign w:val="center"/>
          </w:tcPr>
          <w:p w14:paraId="389B6ED2" w14:textId="77777777" w:rsidR="005B1AF4" w:rsidRDefault="00000000" w:rsidP="00F92F8E">
            <w:pPr>
              <w:adjustRightInd w:val="0"/>
              <w:snapToGrid w:val="0"/>
              <w:spacing w:line="240" w:lineRule="atLeast"/>
              <w:jc w:val="center"/>
              <w:rPr>
                <w:rFonts w:ascii="微软雅黑" w:eastAsia="微软雅黑" w:hAnsi="微软雅黑" w:cs="微软雅黑" w:hint="eastAsia"/>
              </w:rPr>
            </w:pPr>
            <w:r>
              <w:rPr>
                <w:rFonts w:ascii="微软雅黑" w:eastAsia="微软雅黑" w:hAnsi="微软雅黑" w:cs="微软雅黑" w:hint="eastAsia"/>
              </w:rPr>
              <w:t>国密算法集成</w:t>
            </w:r>
          </w:p>
        </w:tc>
      </w:tr>
      <w:tr w:rsidR="005B1AF4" w14:paraId="60B46C70" w14:textId="77777777" w:rsidTr="00F92F8E">
        <w:tc>
          <w:tcPr>
            <w:tcW w:w="1555" w:type="dxa"/>
            <w:vMerge/>
            <w:vAlign w:val="center"/>
          </w:tcPr>
          <w:p w14:paraId="265B7DBE"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2368AF0F"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身份认证：系统登录认证必须支持国密SM3摘要算法进行密码存储与校验，并可扩展支持SM2数字证书（如U-Key）进行双因素认证，确保用户身份的真实性。</w:t>
            </w:r>
          </w:p>
          <w:p w14:paraId="2473BB41"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数据传输加密：浏览器与服务器之间的所有通信链路必须采用</w:t>
            </w:r>
          </w:p>
          <w:p w14:paraId="26D31476"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支持国密TLCP协议的HTTPS加密，或使用SM2/SM4算法对传输数据进行加密，防止数据在网络传输中被窃听或篡改。</w:t>
            </w:r>
          </w:p>
          <w:p w14:paraId="66E2F73C"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数据存储加密：数据库中存储的敏感数据（如患者姓名、身份证号、联系方式、详细病情描述）必须使用国密SM4对称加密算法进行加</w:t>
            </w:r>
            <w:r>
              <w:rPr>
                <w:rFonts w:ascii="微软雅黑" w:eastAsia="微软雅黑" w:hAnsi="微软雅黑" w:cs="微软雅黑" w:hint="eastAsia"/>
              </w:rPr>
              <w:lastRenderedPageBreak/>
              <w:t>密存储。密钥管理需由我方指定专人负责，系统需支持密钥的定期轮换。</w:t>
            </w:r>
          </w:p>
          <w:p w14:paraId="71C530F2"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完整性保护：核心业务数据（如处方、关键操作日志）需使用SM3算法生成数字摘要或数字签名，防止数据被非法篡改，并能验证数据的完整性。</w:t>
            </w:r>
          </w:p>
        </w:tc>
        <w:tc>
          <w:tcPr>
            <w:tcW w:w="2835" w:type="dxa"/>
            <w:vAlign w:val="center"/>
          </w:tcPr>
          <w:p w14:paraId="2196DDCE"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lastRenderedPageBreak/>
              <w:t>提供国密算法的技术文档</w:t>
            </w:r>
          </w:p>
        </w:tc>
      </w:tr>
      <w:tr w:rsidR="005B1AF4" w14:paraId="4BD63EAB" w14:textId="77777777" w:rsidTr="00F92F8E">
        <w:tc>
          <w:tcPr>
            <w:tcW w:w="1555" w:type="dxa"/>
            <w:vMerge w:val="restart"/>
            <w:vAlign w:val="center"/>
          </w:tcPr>
          <w:p w14:paraId="19915532"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4. 数据管理</w:t>
            </w:r>
          </w:p>
        </w:tc>
        <w:tc>
          <w:tcPr>
            <w:tcW w:w="7087" w:type="dxa"/>
            <w:gridSpan w:val="2"/>
            <w:vAlign w:val="center"/>
          </w:tcPr>
          <w:p w14:paraId="46D6FE69" w14:textId="77777777" w:rsidR="005B1AF4" w:rsidRDefault="00000000" w:rsidP="00F92F8E">
            <w:pPr>
              <w:adjustRightInd w:val="0"/>
              <w:snapToGrid w:val="0"/>
              <w:spacing w:line="240" w:lineRule="atLeast"/>
              <w:jc w:val="center"/>
              <w:rPr>
                <w:rFonts w:ascii="微软雅黑" w:eastAsia="微软雅黑" w:hAnsi="微软雅黑" w:cs="微软雅黑" w:hint="eastAsia"/>
              </w:rPr>
            </w:pPr>
            <w:r>
              <w:rPr>
                <w:rFonts w:ascii="微软雅黑" w:eastAsia="微软雅黑" w:hAnsi="微软雅黑" w:cs="微软雅黑" w:hint="eastAsia"/>
              </w:rPr>
              <w:t>数据迁移与治理</w:t>
            </w:r>
          </w:p>
        </w:tc>
      </w:tr>
      <w:tr w:rsidR="005B1AF4" w14:paraId="3BC7B6F2" w14:textId="77777777" w:rsidTr="00F92F8E">
        <w:tc>
          <w:tcPr>
            <w:tcW w:w="1555" w:type="dxa"/>
            <w:vMerge/>
            <w:vAlign w:val="center"/>
          </w:tcPr>
          <w:p w14:paraId="4F354AD5"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19C1EB2B"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数据全面迁移：必须将原C/S系统中的历史数据（患者档案、随访记录、处方、指标、预警处置记录、用户权限等）完整、准确、一致地迁移至新系统。</w:t>
            </w:r>
          </w:p>
        </w:tc>
        <w:tc>
          <w:tcPr>
            <w:tcW w:w="2835" w:type="dxa"/>
            <w:vAlign w:val="center"/>
          </w:tcPr>
          <w:p w14:paraId="7EDFB18C"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提供详细的《数据迁移方案》。</w:t>
            </w:r>
          </w:p>
        </w:tc>
      </w:tr>
      <w:tr w:rsidR="005B1AF4" w14:paraId="3190194F" w14:textId="77777777" w:rsidTr="00F92F8E">
        <w:tc>
          <w:tcPr>
            <w:tcW w:w="1555" w:type="dxa"/>
            <w:vMerge/>
            <w:vAlign w:val="center"/>
          </w:tcPr>
          <w:p w14:paraId="60350F99"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75AF6A5E" w14:textId="2CC6C602"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数据一致性保障：迁移后的数据必须与</w:t>
            </w:r>
            <w:r w:rsidR="00D1489D">
              <w:rPr>
                <w:rFonts w:ascii="微软雅黑" w:eastAsia="微软雅黑" w:hAnsi="微软雅黑" w:cs="微软雅黑" w:hint="eastAsia"/>
              </w:rPr>
              <w:t>原始</w:t>
            </w:r>
            <w:r>
              <w:rPr>
                <w:rFonts w:ascii="微软雅黑" w:eastAsia="微软雅黑" w:hAnsi="微软雅黑" w:cs="微软雅黑" w:hint="eastAsia"/>
              </w:rPr>
              <w:t>数据保持完全一致，统计口径统一，杜绝数据丢失或错误。</w:t>
            </w:r>
          </w:p>
        </w:tc>
        <w:tc>
          <w:tcPr>
            <w:tcW w:w="2835" w:type="dxa"/>
            <w:vAlign w:val="center"/>
          </w:tcPr>
          <w:p w14:paraId="0EEC76AB"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提供详细的《数据迁移方案》。</w:t>
            </w:r>
          </w:p>
        </w:tc>
      </w:tr>
      <w:tr w:rsidR="005B1AF4" w14:paraId="2B4DD6A8" w14:textId="77777777" w:rsidTr="00F92F8E">
        <w:tc>
          <w:tcPr>
            <w:tcW w:w="1555" w:type="dxa"/>
            <w:vMerge w:val="restart"/>
            <w:vAlign w:val="center"/>
          </w:tcPr>
          <w:p w14:paraId="6BC5172D"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5. 系统运维</w:t>
            </w:r>
          </w:p>
        </w:tc>
        <w:tc>
          <w:tcPr>
            <w:tcW w:w="7087" w:type="dxa"/>
            <w:gridSpan w:val="2"/>
            <w:vAlign w:val="center"/>
          </w:tcPr>
          <w:p w14:paraId="67EBD4BB" w14:textId="77777777" w:rsidR="005B1AF4" w:rsidRDefault="00000000" w:rsidP="00F92F8E">
            <w:pPr>
              <w:adjustRightInd w:val="0"/>
              <w:snapToGrid w:val="0"/>
              <w:spacing w:line="240" w:lineRule="atLeast"/>
              <w:jc w:val="center"/>
              <w:rPr>
                <w:rFonts w:ascii="微软雅黑" w:eastAsia="微软雅黑" w:hAnsi="微软雅黑" w:cs="微软雅黑" w:hint="eastAsia"/>
              </w:rPr>
            </w:pPr>
            <w:r>
              <w:rPr>
                <w:rFonts w:ascii="微软雅黑" w:eastAsia="微软雅黑" w:hAnsi="微软雅黑" w:cs="微软雅黑" w:hint="eastAsia"/>
              </w:rPr>
              <w:t>可维护性与运维支持</w:t>
            </w:r>
          </w:p>
        </w:tc>
      </w:tr>
      <w:tr w:rsidR="005B1AF4" w14:paraId="02F85B37" w14:textId="77777777" w:rsidTr="00F92F8E">
        <w:tc>
          <w:tcPr>
            <w:tcW w:w="1555" w:type="dxa"/>
            <w:vMerge/>
            <w:vAlign w:val="center"/>
          </w:tcPr>
          <w:p w14:paraId="3AC06A1D"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168674F7"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故障应急与响应:厂家（生产厂商）需提供明确的急响应的方案和服务内容。重大故障需提供7x24小时应急响应。</w:t>
            </w:r>
          </w:p>
        </w:tc>
        <w:tc>
          <w:tcPr>
            <w:tcW w:w="2835" w:type="dxa"/>
            <w:vAlign w:val="center"/>
          </w:tcPr>
          <w:p w14:paraId="52F262AA" w14:textId="6858454F"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提交《故障应急响应方案》</w:t>
            </w:r>
            <w:r w:rsidR="004D4F6C">
              <w:rPr>
                <w:rFonts w:ascii="微软雅黑" w:eastAsia="微软雅黑" w:hAnsi="微软雅黑" w:cs="微软雅黑" w:hint="eastAsia"/>
              </w:rPr>
              <w:t>,</w:t>
            </w:r>
            <w:r>
              <w:rPr>
                <w:rFonts w:ascii="微软雅黑" w:eastAsia="微软雅黑" w:hAnsi="微软雅黑" w:cs="微软雅黑" w:hint="eastAsia"/>
              </w:rPr>
              <w:t>重大故障提供7x24小时响应,响应时效达标。</w:t>
            </w:r>
          </w:p>
        </w:tc>
      </w:tr>
      <w:tr w:rsidR="005B1AF4" w14:paraId="0FCF745F" w14:textId="77777777" w:rsidTr="00F92F8E">
        <w:tc>
          <w:tcPr>
            <w:tcW w:w="1555" w:type="dxa"/>
            <w:vMerge/>
            <w:vAlign w:val="center"/>
          </w:tcPr>
          <w:p w14:paraId="682C8757"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014269BB"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数据备份与恢复：系统需提供标准化的数据备份与恢复工具或脚本，支持每日自动备份，并能在我方指导下完成一次完整的恢复演练。</w:t>
            </w:r>
          </w:p>
        </w:tc>
        <w:tc>
          <w:tcPr>
            <w:tcW w:w="2835" w:type="dxa"/>
            <w:vAlign w:val="center"/>
          </w:tcPr>
          <w:p w14:paraId="009CD6FF" w14:textId="68B64F6C"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提供《数据备份与恢复操作手册》。</w:t>
            </w:r>
          </w:p>
        </w:tc>
      </w:tr>
      <w:tr w:rsidR="005B1AF4" w14:paraId="05819E9B" w14:textId="77777777" w:rsidTr="00F92F8E">
        <w:tc>
          <w:tcPr>
            <w:tcW w:w="1555" w:type="dxa"/>
            <w:vMerge w:val="restart"/>
            <w:vAlign w:val="center"/>
          </w:tcPr>
          <w:p w14:paraId="28515729"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6. 测试与验收</w:t>
            </w:r>
          </w:p>
        </w:tc>
        <w:tc>
          <w:tcPr>
            <w:tcW w:w="7087" w:type="dxa"/>
            <w:gridSpan w:val="2"/>
            <w:vAlign w:val="center"/>
          </w:tcPr>
          <w:p w14:paraId="637B2EBE" w14:textId="77777777" w:rsidR="005B1AF4" w:rsidRDefault="00000000" w:rsidP="00F92F8E">
            <w:pPr>
              <w:adjustRightInd w:val="0"/>
              <w:snapToGrid w:val="0"/>
              <w:spacing w:line="240" w:lineRule="atLeast"/>
              <w:jc w:val="center"/>
              <w:rPr>
                <w:rFonts w:ascii="微软雅黑" w:eastAsia="微软雅黑" w:hAnsi="微软雅黑" w:cs="微软雅黑" w:hint="eastAsia"/>
              </w:rPr>
            </w:pPr>
            <w:r>
              <w:rPr>
                <w:rFonts w:ascii="微软雅黑" w:eastAsia="微软雅黑" w:hAnsi="微软雅黑" w:cs="微软雅黑" w:hint="eastAsia"/>
              </w:rPr>
              <w:t>质量保障与验收</w:t>
            </w:r>
          </w:p>
        </w:tc>
      </w:tr>
      <w:tr w:rsidR="005B1AF4" w14:paraId="0CBD163B" w14:textId="77777777" w:rsidTr="00F92F8E">
        <w:tc>
          <w:tcPr>
            <w:tcW w:w="1555" w:type="dxa"/>
            <w:vMerge/>
            <w:vAlign w:val="center"/>
          </w:tcPr>
          <w:p w14:paraId="5FA7EAEF"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141AEEBD"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全流程测试：厂家（生产厂商）必须在测试环境中完成功能、数据、权限、性能、安全（含国密）等全部测试，并提供测试报告。</w:t>
            </w:r>
          </w:p>
        </w:tc>
        <w:tc>
          <w:tcPr>
            <w:tcW w:w="2835" w:type="dxa"/>
            <w:vAlign w:val="center"/>
          </w:tcPr>
          <w:p w14:paraId="42964DFA"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提供《测试方案》。</w:t>
            </w:r>
          </w:p>
        </w:tc>
      </w:tr>
      <w:tr w:rsidR="005B1AF4" w14:paraId="7E0ED7A0" w14:textId="77777777" w:rsidTr="00F92F8E">
        <w:tc>
          <w:tcPr>
            <w:tcW w:w="1555" w:type="dxa"/>
            <w:vMerge/>
            <w:vAlign w:val="center"/>
          </w:tcPr>
          <w:p w14:paraId="72F7D380"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33BEBAA2"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用户验收测试：在我方业务人员参与下，对系统进行验收测试，确认系统功能、性能、用户体验满足业务需求。</w:t>
            </w:r>
          </w:p>
        </w:tc>
        <w:tc>
          <w:tcPr>
            <w:tcW w:w="2835" w:type="dxa"/>
            <w:vAlign w:val="center"/>
          </w:tcPr>
          <w:p w14:paraId="3761117E" w14:textId="3F829ECB" w:rsidR="005B1AF4" w:rsidRDefault="00020C93" w:rsidP="00F92F8E">
            <w:pPr>
              <w:adjustRightInd w:val="0"/>
              <w:snapToGrid w:val="0"/>
              <w:spacing w:line="240" w:lineRule="atLeast"/>
              <w:rPr>
                <w:rFonts w:ascii="微软雅黑" w:eastAsia="微软雅黑" w:hAnsi="微软雅黑" w:cs="微软雅黑" w:hint="eastAsia"/>
              </w:rPr>
            </w:pPr>
            <w:r w:rsidRPr="00020C93">
              <w:rPr>
                <w:rFonts w:ascii="微软雅黑" w:eastAsia="微软雅黑" w:hAnsi="微软雅黑" w:cs="微软雅黑" w:hint="eastAsia"/>
              </w:rPr>
              <w:t>承诺在我方业务人员参与下完成验收测试</w:t>
            </w:r>
          </w:p>
        </w:tc>
      </w:tr>
      <w:tr w:rsidR="005B1AF4" w14:paraId="7497F04F" w14:textId="77777777" w:rsidTr="00F92F8E">
        <w:tc>
          <w:tcPr>
            <w:tcW w:w="1555" w:type="dxa"/>
            <w:vMerge w:val="restart"/>
            <w:vAlign w:val="center"/>
          </w:tcPr>
          <w:p w14:paraId="241CEDD1"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7. 后续服务</w:t>
            </w:r>
          </w:p>
        </w:tc>
        <w:tc>
          <w:tcPr>
            <w:tcW w:w="7087" w:type="dxa"/>
            <w:gridSpan w:val="2"/>
            <w:vAlign w:val="center"/>
          </w:tcPr>
          <w:p w14:paraId="3C313C7D" w14:textId="77777777" w:rsidR="005B1AF4" w:rsidRDefault="00000000" w:rsidP="00F92F8E">
            <w:pPr>
              <w:adjustRightInd w:val="0"/>
              <w:snapToGrid w:val="0"/>
              <w:spacing w:line="240" w:lineRule="atLeast"/>
              <w:jc w:val="center"/>
              <w:rPr>
                <w:rFonts w:ascii="微软雅黑" w:eastAsia="微软雅黑" w:hAnsi="微软雅黑" w:cs="微软雅黑" w:hint="eastAsia"/>
              </w:rPr>
            </w:pPr>
            <w:r>
              <w:rPr>
                <w:rFonts w:ascii="微软雅黑" w:eastAsia="微软雅黑" w:hAnsi="微软雅黑" w:cs="微软雅黑" w:hint="eastAsia"/>
              </w:rPr>
              <w:t>培训与文档</w:t>
            </w:r>
          </w:p>
        </w:tc>
      </w:tr>
      <w:tr w:rsidR="005B1AF4" w14:paraId="28EDCA24" w14:textId="77777777" w:rsidTr="00F92F8E">
        <w:tc>
          <w:tcPr>
            <w:tcW w:w="1555" w:type="dxa"/>
            <w:vMerge/>
            <w:vAlign w:val="center"/>
          </w:tcPr>
          <w:p w14:paraId="3C8CA15C"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2FEA7C0E"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培训：厂家（生产厂商）必须为我方提供分层次、分角色的培训，包括：</w:t>
            </w:r>
            <w:r>
              <w:rPr>
                <w:rFonts w:ascii="微软雅黑" w:eastAsia="微软雅黑" w:hAnsi="微软雅黑" w:cs="微软雅黑" w:hint="eastAsia"/>
              </w:rPr>
              <w:br/>
              <w:t>1. 系统管理员培训：侧重于系统部署、维护、权限配置、备份恢复。</w:t>
            </w:r>
            <w:r>
              <w:rPr>
                <w:rFonts w:ascii="微软雅黑" w:eastAsia="微软雅黑" w:hAnsi="微软雅黑" w:cs="微软雅黑" w:hint="eastAsia"/>
              </w:rPr>
              <w:br/>
              <w:t>2. 科室管理员培训：侧重于日常管理、流程配置。</w:t>
            </w:r>
            <w:r>
              <w:rPr>
                <w:rFonts w:ascii="微软雅黑" w:eastAsia="微软雅黑" w:hAnsi="微软雅黑" w:cs="微软雅黑" w:hint="eastAsia"/>
              </w:rPr>
              <w:br/>
              <w:t>3. 最终用户培训：侧重于业务操作。</w:t>
            </w:r>
          </w:p>
        </w:tc>
        <w:tc>
          <w:tcPr>
            <w:tcW w:w="2835" w:type="dxa"/>
            <w:vAlign w:val="center"/>
          </w:tcPr>
          <w:p w14:paraId="6098FA11"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提供《培训计划方案》。</w:t>
            </w:r>
          </w:p>
        </w:tc>
      </w:tr>
      <w:tr w:rsidR="005B1AF4" w14:paraId="113029E5" w14:textId="77777777" w:rsidTr="00F92F8E">
        <w:tc>
          <w:tcPr>
            <w:tcW w:w="1555" w:type="dxa"/>
            <w:vMerge/>
            <w:vAlign w:val="center"/>
          </w:tcPr>
          <w:p w14:paraId="29803528"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0C5B460C"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文档交付：项目完成后，厂家（生产厂商）必</w:t>
            </w:r>
            <w:r>
              <w:rPr>
                <w:rFonts w:ascii="微软雅黑" w:eastAsia="微软雅黑" w:hAnsi="微软雅黑" w:cs="微软雅黑" w:hint="eastAsia"/>
              </w:rPr>
              <w:lastRenderedPageBreak/>
              <w:t>须交付全套技术文档和业务文档，包括但不限于：</w:t>
            </w:r>
            <w:r>
              <w:rPr>
                <w:rFonts w:ascii="微软雅黑" w:eastAsia="微软雅黑" w:hAnsi="微软雅黑" w:cs="微软雅黑" w:hint="eastAsia"/>
              </w:rPr>
              <w:br/>
              <w:t>《系统部署与运维手册》、《数据字典》、《接口规范说明》、《用户操作手册》、《国密改造实施报告》。</w:t>
            </w:r>
          </w:p>
        </w:tc>
        <w:tc>
          <w:tcPr>
            <w:tcW w:w="2835" w:type="dxa"/>
            <w:vAlign w:val="center"/>
          </w:tcPr>
          <w:p w14:paraId="5C1F1770" w14:textId="77777777" w:rsidR="005B1AF4" w:rsidRDefault="005B1AF4" w:rsidP="00F92F8E">
            <w:pPr>
              <w:adjustRightInd w:val="0"/>
              <w:snapToGrid w:val="0"/>
              <w:spacing w:line="240" w:lineRule="atLeast"/>
              <w:rPr>
                <w:rFonts w:ascii="微软雅黑" w:eastAsia="微软雅黑" w:hAnsi="微软雅黑" w:cs="微软雅黑" w:hint="eastAsia"/>
              </w:rPr>
            </w:pPr>
          </w:p>
        </w:tc>
      </w:tr>
      <w:tr w:rsidR="005B1AF4" w14:paraId="708B9DA7" w14:textId="77777777" w:rsidTr="00F92F8E">
        <w:tc>
          <w:tcPr>
            <w:tcW w:w="1555" w:type="dxa"/>
            <w:vMerge/>
            <w:vAlign w:val="center"/>
          </w:tcPr>
          <w:p w14:paraId="64BCDFFC" w14:textId="77777777" w:rsidR="005B1AF4" w:rsidRDefault="005B1AF4" w:rsidP="00F92F8E">
            <w:pPr>
              <w:adjustRightInd w:val="0"/>
              <w:snapToGrid w:val="0"/>
              <w:spacing w:line="240" w:lineRule="atLeast"/>
              <w:rPr>
                <w:rFonts w:ascii="微软雅黑" w:eastAsia="微软雅黑" w:hAnsi="微软雅黑" w:cs="微软雅黑" w:hint="eastAsia"/>
              </w:rPr>
            </w:pPr>
          </w:p>
        </w:tc>
        <w:tc>
          <w:tcPr>
            <w:tcW w:w="4252" w:type="dxa"/>
            <w:vAlign w:val="center"/>
          </w:tcPr>
          <w:p w14:paraId="767418AC" w14:textId="77777777" w:rsidR="005B1AF4" w:rsidRDefault="00000000" w:rsidP="00F92F8E">
            <w:pPr>
              <w:adjustRightInd w:val="0"/>
              <w:snapToGrid w:val="0"/>
              <w:spacing w:line="240" w:lineRule="atLeast"/>
              <w:rPr>
                <w:rFonts w:ascii="微软雅黑" w:eastAsia="微软雅黑" w:hAnsi="微软雅黑" w:cs="微软雅黑" w:hint="eastAsia"/>
              </w:rPr>
            </w:pPr>
            <w:r>
              <w:rPr>
                <w:rFonts w:ascii="微软雅黑" w:eastAsia="微软雅黑" w:hAnsi="微软雅黑" w:cs="微软雅黑" w:hint="eastAsia"/>
              </w:rPr>
              <w:t>质保期与售后服务：系统上线后，厂家（生产厂商）需提供至少1年的免费质保期，质保期内提供免费的故障修复、安全补丁、小版本升级和7x24小时技术支持服务。</w:t>
            </w:r>
          </w:p>
        </w:tc>
        <w:tc>
          <w:tcPr>
            <w:tcW w:w="2835" w:type="dxa"/>
            <w:vAlign w:val="center"/>
          </w:tcPr>
          <w:p w14:paraId="0B599825" w14:textId="77777777" w:rsidR="005B1AF4" w:rsidRDefault="005B1AF4" w:rsidP="00F92F8E">
            <w:pPr>
              <w:adjustRightInd w:val="0"/>
              <w:snapToGrid w:val="0"/>
              <w:spacing w:line="240" w:lineRule="atLeast"/>
              <w:rPr>
                <w:rFonts w:ascii="微软雅黑" w:eastAsia="微软雅黑" w:hAnsi="微软雅黑" w:cs="微软雅黑" w:hint="eastAsia"/>
              </w:rPr>
            </w:pPr>
          </w:p>
        </w:tc>
      </w:tr>
    </w:tbl>
    <w:p w14:paraId="48AB7493" w14:textId="77777777" w:rsidR="005B1AF4" w:rsidRDefault="005B1AF4">
      <w:pPr>
        <w:spacing w:line="400" w:lineRule="exact"/>
        <w:rPr>
          <w:rFonts w:ascii="微软雅黑" w:eastAsia="微软雅黑" w:hAnsi="微软雅黑" w:cs="微软雅黑" w:hint="eastAsia"/>
          <w:sz w:val="24"/>
          <w:szCs w:val="24"/>
        </w:rPr>
      </w:pPr>
    </w:p>
    <w:sectPr w:rsidR="005B1A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6189E" w14:textId="77777777" w:rsidR="00231FF3" w:rsidRDefault="00231FF3" w:rsidP="00D1489D">
      <w:pPr>
        <w:rPr>
          <w:rFonts w:hint="eastAsia"/>
        </w:rPr>
      </w:pPr>
      <w:r>
        <w:separator/>
      </w:r>
    </w:p>
  </w:endnote>
  <w:endnote w:type="continuationSeparator" w:id="0">
    <w:p w14:paraId="64893B3B" w14:textId="77777777" w:rsidR="00231FF3" w:rsidRDefault="00231FF3" w:rsidP="00D1489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7F31A" w14:textId="77777777" w:rsidR="00231FF3" w:rsidRDefault="00231FF3" w:rsidP="00D1489D">
      <w:pPr>
        <w:rPr>
          <w:rFonts w:hint="eastAsia"/>
        </w:rPr>
      </w:pPr>
      <w:r>
        <w:separator/>
      </w:r>
    </w:p>
  </w:footnote>
  <w:footnote w:type="continuationSeparator" w:id="0">
    <w:p w14:paraId="13FFDE8A" w14:textId="77777777" w:rsidR="00231FF3" w:rsidRDefault="00231FF3" w:rsidP="00D1489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36"/>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B1"/>
    <w:rsid w:val="0001287C"/>
    <w:rsid w:val="00020C93"/>
    <w:rsid w:val="0009727A"/>
    <w:rsid w:val="001030C8"/>
    <w:rsid w:val="00132763"/>
    <w:rsid w:val="00182A00"/>
    <w:rsid w:val="001923E8"/>
    <w:rsid w:val="001C64D3"/>
    <w:rsid w:val="00231FF3"/>
    <w:rsid w:val="002D06C2"/>
    <w:rsid w:val="00390699"/>
    <w:rsid w:val="003E24B1"/>
    <w:rsid w:val="00402343"/>
    <w:rsid w:val="0043618E"/>
    <w:rsid w:val="004D4F6C"/>
    <w:rsid w:val="00535AC9"/>
    <w:rsid w:val="005B1AF4"/>
    <w:rsid w:val="005F662F"/>
    <w:rsid w:val="00646D88"/>
    <w:rsid w:val="00727B6A"/>
    <w:rsid w:val="0077160C"/>
    <w:rsid w:val="007B7C6E"/>
    <w:rsid w:val="00845D7E"/>
    <w:rsid w:val="00946299"/>
    <w:rsid w:val="00A53780"/>
    <w:rsid w:val="00B50B64"/>
    <w:rsid w:val="00BC0907"/>
    <w:rsid w:val="00BE50EE"/>
    <w:rsid w:val="00C56910"/>
    <w:rsid w:val="00C84563"/>
    <w:rsid w:val="00D1489D"/>
    <w:rsid w:val="00E60D53"/>
    <w:rsid w:val="00E73297"/>
    <w:rsid w:val="00E75683"/>
    <w:rsid w:val="00ED0D20"/>
    <w:rsid w:val="00EE7231"/>
    <w:rsid w:val="00F92F8E"/>
    <w:rsid w:val="00FB500D"/>
    <w:rsid w:val="4D152A86"/>
    <w:rsid w:val="705F6544"/>
    <w:rsid w:val="7FF2C734"/>
    <w:rsid w:val="F7AFF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8425C"/>
  <w15:docId w15:val="{141FF635-49BE-4B27-A0B2-D495A2F40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Times New Roman" w:eastAsia="宋体" w:hAnsi="Times New Roman" w:cs="Times New Roman"/>
      <w:szCs w:val="24"/>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bCs/>
    </w:rPr>
  </w:style>
  <w:style w:type="character" w:customStyle="1" w:styleId="10">
    <w:name w:val="标题 1 字符"/>
    <w:basedOn w:val="a0"/>
    <w:link w:val="1"/>
    <w:uiPriority w:val="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c">
    <w:name w:val="标题 字符"/>
    <w:basedOn w:val="a0"/>
    <w:link w:val="ab"/>
    <w:uiPriority w:val="10"/>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styleId="af">
    <w:name w:val="Quote"/>
    <w:basedOn w:val="a"/>
    <w:next w:val="a"/>
    <w:link w:val="af0"/>
    <w:uiPriority w:val="29"/>
    <w:qFormat/>
    <w:pPr>
      <w:spacing w:before="160" w:after="160"/>
      <w:jc w:val="center"/>
    </w:pPr>
    <w:rPr>
      <w:i/>
      <w:iCs/>
      <w:color w:val="404040" w:themeColor="text1" w:themeTint="BF"/>
    </w:rPr>
  </w:style>
  <w:style w:type="character" w:customStyle="1" w:styleId="af0">
    <w:name w:val="引用 字符"/>
    <w:basedOn w:val="a0"/>
    <w:link w:val="af"/>
    <w:uiPriority w:val="29"/>
    <w:rPr>
      <w:i/>
      <w:iCs/>
      <w:color w:val="404040" w:themeColor="text1" w:themeTint="BF"/>
    </w:rPr>
  </w:style>
  <w:style w:type="paragraph" w:styleId="af1">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2">
    <w:name w:val="Intense Quote"/>
    <w:basedOn w:val="a"/>
    <w:next w:val="a"/>
    <w:link w:val="af3"/>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3">
    <w:name w:val="明显引用 字符"/>
    <w:basedOn w:val="a0"/>
    <w:link w:val="af2"/>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注释标题 字符"/>
    <w:basedOn w:val="a0"/>
    <w:link w:val="a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1155</Words>
  <Characters>1203</Characters>
  <Application>Microsoft Office Word</Application>
  <DocSecurity>0</DocSecurity>
  <Lines>92</Lines>
  <Paragraphs>62</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 wa</dc:creator>
  <cp:lastModifiedBy>wa wa</cp:lastModifiedBy>
  <cp:revision>18</cp:revision>
  <dcterms:created xsi:type="dcterms:W3CDTF">2026-03-25T20:27:00Z</dcterms:created>
  <dcterms:modified xsi:type="dcterms:W3CDTF">2026-04-02T08:14:00Z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D415534C06DD45498537F8BA17196978_13</vt:lpwstr>
  </property>
  <property fmtid="{D5CDD505-2E9C-101B-9397-08002B2CF9AE}" pid="4" name="KSOTemplateDocerSaveRecord">
    <vt:lpwstr>eyJoZGlkIjoiMzNmN2QyYWRlNzM3OGE4NDgyNmFiNmQ5YmIyOGRhMzIiLCJ1c2VySWQiOiIxNjY1MDgyMTk5In0=</vt:lpwstr>
  </property>
</Properties>
</file>