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0F52B0"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成都市公共卫生临床医疗中心</w:t>
      </w:r>
    </w:p>
    <w:p w14:paraId="1B5BD992"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密评密改系统建设服务项目（二期）功能需求</w:t>
      </w:r>
    </w:p>
    <w:p w14:paraId="3EE4A641">
      <w:pPr>
        <w:pStyle w:val="2"/>
        <w:rPr>
          <w:rFonts w:hint="eastAsia"/>
        </w:rPr>
      </w:pPr>
    </w:p>
    <w:p w14:paraId="5DB6E19A">
      <w:pPr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</w:rPr>
      </w:pPr>
      <w:bookmarkStart w:id="0" w:name="_Toc220076484"/>
      <w:bookmarkStart w:id="1" w:name="_Toc904479816"/>
      <w:bookmarkStart w:id="2" w:name="_Toc132287483"/>
      <w:bookmarkStart w:id="3" w:name="_Toc117101188"/>
      <w:r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</w:rPr>
        <w:t>一、整体要求</w:t>
      </w:r>
      <w:bookmarkEnd w:id="0"/>
      <w:bookmarkEnd w:id="1"/>
      <w:bookmarkEnd w:id="2"/>
      <w:bookmarkEnd w:id="3"/>
    </w:p>
    <w:p w14:paraId="255EB069">
      <w:pPr>
        <w:spacing w:line="560" w:lineRule="exact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成都市公共卫生临床医疗中心密评密改系统建设服务项目（二期）以合规适配、安全可控、集中管理、高效易用为核心目标，通过新增密码设备、部署监管平台、开展系统改造等工作，为微信小程序、专科专病数据平台、医院集成平台、医院官网四个核心业务系统构建全方位的密码防护体系。</w:t>
      </w:r>
    </w:p>
    <w:p w14:paraId="182187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</w:rPr>
        <w:t>二、功能要求</w:t>
      </w:r>
    </w:p>
    <w:p w14:paraId="172BB9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  <w:lang w:val="en-US" w:eastAsia="zh-CN"/>
        </w:rPr>
        <w:t>（一）云服务器密码机要求</w:t>
      </w:r>
    </w:p>
    <w:p w14:paraId="18663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1、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数量：2套。</w:t>
      </w:r>
    </w:p>
    <w:p w14:paraId="7EEF02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2、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配置要求</w:t>
      </w:r>
    </w:p>
    <w:p w14:paraId="4F01AC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（1）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具备商用密码检测认证中心颁发的商用密码产品认证证书。</w:t>
      </w:r>
    </w:p>
    <w:p w14:paraId="2A44B7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（2）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机箱2U；内存容量≥64G；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配备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冗余电源；企业级存储容量≥1T；网口数量≥2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个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电口，可扩展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光口。</w:t>
      </w:r>
    </w:p>
    <w:p w14:paraId="067E4C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（3）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支持SM1、SM4、SM7、AES 等对称算法，支持SM2和RSA非对称算法，支持SM9标识密码算法，支持SM3、SHA256、SHA384、SHA512等杂凑算法，支持国际算法ECDSA，DSA，对称算法需支持ECB，CBC、CTR和GCM算法模式。</w:t>
      </w:r>
    </w:p>
    <w:p w14:paraId="2E853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（4）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具备镜像管理保护、基于虚拟化技术自动部署、远程创建虚拟密码机影像、虚拟密码机自动化部署、启用、卸载等功能。</w:t>
      </w:r>
    </w:p>
    <w:p w14:paraId="650730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（5）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支持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运行多个虚拟密码机，每个虚拟密码机可对应用独立提供密码服务，各个虚拟密码机之间密钥完全隔离；具备虚拟密码机漂移、克隆、迁移等功能。</w:t>
      </w:r>
    </w:p>
    <w:p w14:paraId="39077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（6）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支持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密码资源池化管理，池化后的资源可以弹性伸缩、按需分配，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支持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独立部署为密码计算单元、密码计算单元集群等功能。</w:t>
      </w:r>
    </w:p>
    <w:p w14:paraId="38C895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（7）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支持对设备的密码计算能力进行异步调度。</w:t>
      </w:r>
    </w:p>
    <w:p w14:paraId="44D33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（8）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支持监控和管理密码运算模块的运行状况，对故障进行主动告警或恢复等功能。</w:t>
      </w:r>
    </w:p>
    <w:p w14:paraId="176654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（9）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支持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SM9算法密钥生成、SM9算法加密解密、SM9算法签名验签、SM9算法密钥封装解封装等功能。</w:t>
      </w:r>
    </w:p>
    <w:p w14:paraId="799579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（10）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 xml:space="preserve"> 具备《中国环境标志产品认证证书》。</w:t>
      </w:r>
    </w:p>
    <w:p w14:paraId="23EEFC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（11）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 xml:space="preserve"> 与医院现有密码服务平台、数字证书管理系统、移动安全认证系统、电子签章系统等数字证书电子认证相关系统能够进行无缝对接。</w:t>
      </w:r>
    </w:p>
    <w:p w14:paraId="1B01E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（12）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 xml:space="preserve"> 性能：虚机数量≥16；256 位 SM2 密钥对生成 (对 / 秒)≥110000；256 位 SM2 签名 (Tps)≥120000；256 位 SM2 验签 (Tps)≥48000；256 位 SM2 加密 (Mbps)(包长 32KB)≥450；256 位 SM2 解密 (Mbps)(包长 32KB)≥450；1024 位 RSA 密钥对生成 (对 / 秒)≥55；1024 位 RSA 签名 (Tps)≥8000；1024 位 RSA 验签 (Tps)≥80000；2048 位 RSA 密钥对生成 (对 / 秒)≥10；2048 位 RSA 签名 (Tps)≥1900；2048 位 RSA 验签 (Tps)≥50000；SM3 (Mbps)(包长 32KB)≥2500；SM1 (Mbps)(包长 32KB)≥3000；SM4 (Mbps)(包长 32KB)≥4000；AES (Mbps)(包长 32KB)≥4000；3DES (Mbps)(包长 32KB)≥800。</w:t>
      </w:r>
    </w:p>
    <w:p w14:paraId="310D0E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</w:rPr>
        <w:t>数据库加密机要求</w:t>
      </w:r>
    </w:p>
    <w:p w14:paraId="7313F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1、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数量：2套。</w:t>
      </w:r>
    </w:p>
    <w:p w14:paraId="236005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2、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配置要求</w:t>
      </w:r>
    </w:p>
    <w:p w14:paraId="6CC086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（1）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具备商用密码检测认证中心颁发的商用密码产品认证证书。</w:t>
      </w:r>
    </w:p>
    <w:p w14:paraId="2B3872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（2）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机箱2U；内存容量≥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32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G；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配备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冗余电源；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固态硬盘容量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≥960G；网口数量：≥2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个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电口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或</w:t>
      </w:r>
      <w:bookmarkStart w:id="4" w:name="_GoBack"/>
      <w:bookmarkEnd w:id="4"/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2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个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光口。</w:t>
      </w:r>
    </w:p>
    <w:p w14:paraId="550829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（3）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支持数据库字段级数据透明加密、完整性保护和校验，确保数据机密性和完整性。</w:t>
      </w:r>
    </w:p>
    <w:p w14:paraId="1A1C95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（4）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数据库字段级数据的透明加密支持varchar2、varchar、char、number等字段类型。</w:t>
      </w:r>
    </w:p>
    <w:p w14:paraId="24EAE2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（5）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支持保留格式加密，数据的格式和长度不变。</w:t>
      </w:r>
    </w:p>
    <w:p w14:paraId="423113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（6）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支持为保留格式加密建立加密规则。</w:t>
      </w:r>
    </w:p>
    <w:p w14:paraId="16821E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（7）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支持对加密字段制定独立于数据库的权限控制策略，支持对数据库对象的查询权限，支持控制库、表、字段三级对象。</w:t>
      </w:r>
    </w:p>
    <w:p w14:paraId="1AE139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（8）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支持Oracle、SQLServer、MySQL、MariaDB、PostgreSQL、MogDB、OpenGauss、达梦、翰高、人大金仓、神州等通用主流数据库透明加密。</w:t>
      </w:r>
    </w:p>
    <w:p w14:paraId="44DAB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（9）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支持密文索引，可对加密列设置密文索引。</w:t>
      </w:r>
    </w:p>
    <w:p w14:paraId="474888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（10）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支持创建字段级模糊查询；支持以密文列的原始值为条件进行精确查询。</w:t>
      </w:r>
    </w:p>
    <w:p w14:paraId="55C6DC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（11）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支持兼容国产化软硬件环境，包括飞腾、海光、鲲鹏、兆芯等国产化 CPU，银河麒麟、中标麒麟、统信 UOS、中科方德、普华等国产化操作系统，金蝶天燕、中创等国产化中间件，人大金仓、瀚高、达梦、南大通用等国产化数据库。</w:t>
      </w:r>
    </w:p>
    <w:p w14:paraId="34350F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（12）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具备《中国环境标志产品认证证书》。</w:t>
      </w:r>
    </w:p>
    <w:p w14:paraId="3C1EFE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（13）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支持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与医院现有密码服务平台无缝对接。</w:t>
      </w:r>
    </w:p>
    <w:p w14:paraId="2A1681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（14）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网关模式数据库加密表实时查询≥52000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条/秒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；网关模式数据库加密表实时插入≥26000条/秒。</w:t>
      </w:r>
    </w:p>
    <w:p w14:paraId="37CC3E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</w:rPr>
        <w:t>综合密码监管平台要求</w:t>
      </w:r>
    </w:p>
    <w:p w14:paraId="3B57A9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1、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采购数量</w:t>
      </w:r>
    </w:p>
    <w:p w14:paraId="7CD31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采购数量：1套。</w:t>
      </w:r>
    </w:p>
    <w:p w14:paraId="427341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2、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配置要求</w:t>
      </w:r>
    </w:p>
    <w:p w14:paraId="344C1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（1）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支持厂商管理、产品管理、设备类型管理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设备管理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设备标签管理。</w:t>
      </w:r>
    </w:p>
    <w:p w14:paraId="3E2550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（2）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支持手动添加和自动发现设备功能；自动发现可自动扫描网段内新增设备，并判断设备类型；支持新增和配置设备发现策略，配置内容包括扫描频率、扫描网段、忽略设备等，自动发现策略支持手动触发扫描。</w:t>
      </w:r>
    </w:p>
    <w:p w14:paraId="7E8A05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（3）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支持设备类型自定义增删改，支持选择设备类型具备的设备运维协议参数、设备运维能力、监控采集协议、监控采集指标、单点登录协议等。</w:t>
      </w:r>
    </w:p>
    <w:p w14:paraId="0A3891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（4）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支持三方设备纳管能力，可过导入协议包实现监管协议的横向扩展能力，提供协议包新增、编辑和删除能力。</w:t>
      </w:r>
    </w:p>
    <w:p w14:paraId="080885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（5）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设备一键自检、批量自检及定时自动巡检，检查内容包括系统层、网络层、应用层的各项指标；巡检策略支持配置，配置内容包括巡检频率、报告保留天数、巡检设备等；支持查看巡检和自检报告，报告内容包含检查结果和详细检查情况。</w:t>
      </w:r>
    </w:p>
    <w:p w14:paraId="4587D6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（6）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内置关键指标的告警策略，包括CPU使用率、内存使用率、磁盘使用率等；支持自定义告警规则，自定义内容包括告警级别、指标、指标比较规则、指标告警阈值、持续时间或持续次数、前置条件、告警内容附加信息；告警规则可配置告警联系人。</w:t>
      </w:r>
    </w:p>
    <w:p w14:paraId="0DED55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（7）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支持一屏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查看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产品设备数量分布、设备在线情况、CPU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内存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磁盘资源占用率Top5、实时告警、事件、设备巡检情况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近期上架设备。</w:t>
      </w:r>
    </w:p>
    <w:p w14:paraId="663EBC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（8）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支持查看设备各项指标的实时状态值、指标历史走势图、服务运行状态、版本信息、设备巡检情况、业务指标数据、实时告警、事件信息等。</w:t>
      </w:r>
    </w:p>
    <w:p w14:paraId="2739D8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（9）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支持被纳管设备的审计日志收集以及统一展示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支持展示审计日志的设备名称、设备IP、操作内容、操作结果、请求原IP、完整性校验、操作用户、操作时间等。</w:t>
      </w:r>
    </w:p>
    <w:p w14:paraId="633547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（10）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支持对设备状态进行周期性智能分析，预测潜在风险问题；支持对关键指标按小时、天、周、月等时间分布维度进行指标变化趋势的分析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支持设备健康状态研判分析、设备巡检结果研判分析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输出分析结果、严重程度、处置建议。</w:t>
      </w:r>
    </w:p>
    <w:p w14:paraId="37E82D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（11）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支持集中展示基于AI大模型的智能分析结果，支持根据设备IP、分析类型、分析结果等级、是否触发告警进行检索。</w:t>
      </w:r>
    </w:p>
    <w:p w14:paraId="6969C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（12）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支持兼容国产化CPU、操作系统、数据库、中间件等软硬件环境。</w:t>
      </w:r>
    </w:p>
    <w:p w14:paraId="49F473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</w:rPr>
        <w:t>系统改造服务要求</w:t>
      </w:r>
    </w:p>
    <w:p w14:paraId="1A409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1、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数量：4套。</w:t>
      </w:r>
    </w:p>
    <w:p w14:paraId="6D9E52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2、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配置要求</w:t>
      </w:r>
    </w:p>
    <w:p w14:paraId="684848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与医院微信小程序、专科专病数据平台、医院集成平台、医院官网进行接口改造、编写和对接，完成商用密码改造。</w:t>
      </w:r>
    </w:p>
    <w:p w14:paraId="0956F5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</w:rPr>
        <w:t>国密浏览器要求</w:t>
      </w:r>
    </w:p>
    <w:p w14:paraId="11203B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1、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数量：4套。</w:t>
      </w:r>
    </w:p>
    <w:p w14:paraId="1A229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2、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配置要求</w:t>
      </w:r>
    </w:p>
    <w:p w14:paraId="480961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（1）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具备商用密码检测认证中心颁发的商用密码产品认证证书。</w:t>
      </w:r>
    </w:p>
    <w:p w14:paraId="16441F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（2）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支持国密算法SM2、SM3、SM4。在Chrome 内核下支持国密SSL协议。</w:t>
      </w:r>
    </w:p>
    <w:p w14:paraId="644253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（3）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支持龙芯、兆芯、飞腾、华为鲲鹏等国产CPU芯片。</w:t>
      </w:r>
    </w:p>
    <w:p w14:paraId="066804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（4）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支持银河麒麟、中标麒麟、统信 UOS、中科方德、普华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Linux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等操作系统。</w:t>
      </w:r>
    </w:p>
    <w:p w14:paraId="711009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（5）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支持国密算法 SM2、SM3、SM4，支持国密SSL协议，符合GM/T 0024-2014《SSL VPN技术规范》。</w:t>
      </w:r>
    </w:p>
    <w:p w14:paraId="599C5F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（6）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符合GB/T 38636-2020《信息安全技术传输层密码协议（TLCP）》。</w:t>
      </w:r>
    </w:p>
    <w:p w14:paraId="704A8A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（7）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支持第三方电子认证中心签发的数字证书。</w:t>
      </w:r>
    </w:p>
    <w:p w14:paraId="13F1AE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</w:rPr>
        <w:t>国密SSL站点证书要求</w:t>
      </w:r>
    </w:p>
    <w:p w14:paraId="307A95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1、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数量：1套。</w:t>
      </w:r>
    </w:p>
    <w:p w14:paraId="30D6D2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2、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配置要求</w:t>
      </w:r>
    </w:p>
    <w:p w14:paraId="4262C8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（1）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支持SM2算法。</w:t>
      </w:r>
    </w:p>
    <w:p w14:paraId="3C6C19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（2）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支持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为网站提供身份鉴定并保证该网站拥有高强度加密安全。</w:t>
      </w:r>
    </w:p>
    <w:p w14:paraId="6FACD5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（3）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支持核验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网站的真实性，有效性。</w:t>
      </w:r>
    </w:p>
    <w:p w14:paraId="14799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（4）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支持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为网络通信提供安全及数据完整性保障。</w:t>
      </w:r>
    </w:p>
    <w:p w14:paraId="3B8BDA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（5）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支持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安装部署在服务器或网关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上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，实现数据传输加密。</w:t>
      </w:r>
    </w:p>
    <w:p w14:paraId="61C18D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（6）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包含4张站点证书。</w:t>
      </w:r>
    </w:p>
    <w:p w14:paraId="3AA2D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</w:rPr>
        <w:t>国际SSL站点证书要求</w:t>
      </w:r>
    </w:p>
    <w:p w14:paraId="4FFDC0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1、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数量：1套。</w:t>
      </w:r>
    </w:p>
    <w:p w14:paraId="41AEE3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2、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配置要求</w:t>
      </w:r>
    </w:p>
    <w:p w14:paraId="73B993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（1）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支持SM2算法。</w:t>
      </w:r>
    </w:p>
    <w:p w14:paraId="02FAFA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（2）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支持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为网站提供身份鉴定并保证该网站拥有高强度加密安全。</w:t>
      </w:r>
    </w:p>
    <w:p w14:paraId="75492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（3）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支持核验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网站的真实性，有效性，防止钓鱼网站。</w:t>
      </w:r>
    </w:p>
    <w:p w14:paraId="1B5BCC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（4）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支持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为网络通信提供安全及数据完整性保障。</w:t>
      </w:r>
    </w:p>
    <w:p w14:paraId="59BB8F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（5）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支持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安装部署在服务器或网关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上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，实现数据传输加密。</w:t>
      </w:r>
    </w:p>
    <w:p w14:paraId="68FF8C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（6）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需符合GB/T 39786-2021《信息安全技术信息系统密码应用基本要求》的第三级别要求。</w:t>
      </w:r>
    </w:p>
    <w:p w14:paraId="58BC42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（7）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包含4张站点证书。</w:t>
      </w:r>
    </w:p>
    <w:p w14:paraId="2A209E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</w:rPr>
        <w:t>数字证书电子认证服务要求</w:t>
      </w:r>
    </w:p>
    <w:p w14:paraId="42902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1、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数量：1套。</w:t>
      </w:r>
    </w:p>
    <w:p w14:paraId="3CA93D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2、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配置要求</w:t>
      </w:r>
    </w:p>
    <w:p w14:paraId="02EDB6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需得到医院现有数字证书管理系统设备生产厂商的平台、接口及数字证书对接等技术支持服务。</w:t>
      </w:r>
    </w:p>
    <w:p w14:paraId="5FDCF3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  <w:lang w:val="en-US" w:eastAsia="zh-CN"/>
        </w:rPr>
        <w:t>九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</w:rPr>
        <w:t>密码监管平台统一认证管理系统要求</w:t>
      </w:r>
    </w:p>
    <w:p w14:paraId="24D73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1、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数量：1套。</w:t>
      </w:r>
    </w:p>
    <w:p w14:paraId="7F4F0C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2、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配置要求</w:t>
      </w:r>
    </w:p>
    <w:p w14:paraId="21DD10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（1）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管理功能对应的license授权：最大终端接入数量≥32000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个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，授权永久有效。配置平台软硬件部署环境。</w:t>
      </w:r>
    </w:p>
    <w:p w14:paraId="76DF64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（2）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支持银河麒麟、中标麒麟、统信UOS、中科方德、普华、Linux等操作系统。</w:t>
      </w:r>
    </w:p>
    <w:p w14:paraId="44724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（3）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支持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分权分域功能，为不同的角色分配不同的设备管理范围和操作权限。</w:t>
      </w:r>
    </w:p>
    <w:p w14:paraId="4F3800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（4）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支持WEB、CLI方式配置实现对系统的前端业务的按权重、IP轮询、最少连接等方式的负载均衡，提高系统整体性能。</w:t>
      </w:r>
    </w:p>
    <w:p w14:paraId="64CB40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（5）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支持单设备添加、按IP段添加、通过文件导入方式添加等多种资源发现方式，可定义任务自动发现设备。</w:t>
      </w:r>
    </w:p>
    <w:p w14:paraId="40C517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（6）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支持自主签发CA证书并生产证书，支持导入第三方证书、秘钥、CRS 文件方式导入，保障系统业务传输安全性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支持针对域名、IP的证书在线检查服务及过期检查服务，支持内网HTTPS代理网关对内网WEB业务进行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SSL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安全加密代理服务，保障业务系统数据传输安全性。</w:t>
      </w:r>
    </w:p>
    <w:p w14:paraId="5F9A42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（7）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支持基于时间的自动脚本计划任务，提高系统易用性。支持CPU核心数量显示及利用率等使用情况分析。</w:t>
      </w:r>
    </w:p>
    <w:p w14:paraId="5F6DB8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（8）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支持基于图形化管理的数据库导入、导出配置，支持自定义定时备份，数据备份可以实现本地备份、远程SSH或FTP及云对象存储备份功能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支持一键数据库目录迁移实现数据快速复制。</w:t>
      </w:r>
    </w:p>
    <w:p w14:paraId="1F4E94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（9）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支持对服务硬件的配置抽象成一个文件，使硬件配置可以继承，可以迁移，配置项包括POOL配置、ADAPTER配置（RAID配置、HBA卡配置、CNA卡配置)、BIOS配置和VLAN配置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支持无状态计算Failover，可以实现自动隔离故障设备与切换。</w:t>
      </w:r>
    </w:p>
    <w:p w14:paraId="1055F7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（10）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支持基于非模拟报文监测或者探针式监测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真实流IP网络实时监测能力，监测结果可实时在拓扑上显示。</w:t>
      </w:r>
    </w:p>
    <w:p w14:paraId="4B9EC3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（11）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支持基于时间的文件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数据库的备份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支持基于知识库的数据库优化功能，配置图形化的一键或者自定义的数据库内存优化器技术。</w:t>
      </w:r>
    </w:p>
    <w:p w14:paraId="78B69B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（12）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与医院现有数字证书管理系统、移动安全认证系统、电子签章系统等数字证书电子认证相关系统能够无缝对接。</w:t>
      </w:r>
    </w:p>
    <w:p w14:paraId="26AB4E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highlight w:val="none"/>
        </w:rPr>
        <w:t>密码监管平台终端安全管理系统要求</w:t>
      </w:r>
    </w:p>
    <w:p w14:paraId="045BCF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1、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数量：1套。</w:t>
      </w:r>
    </w:p>
    <w:p w14:paraId="3FAF2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2、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配置要求</w:t>
      </w:r>
    </w:p>
    <w:p w14:paraId="5BE120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（1）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配置基于信创平台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密码监管平台安全防护模块≥5 套，本地不再额外部署控制中心，直接集成在医院现有的终端安全管理系统上，共用现有系统账号体系、权限策略，实现对敏感数据的安全防护。</w:t>
      </w:r>
    </w:p>
    <w:p w14:paraId="376BE0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（2）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支持安全防护模块主程序版本、病毒库版本按分组和多批次进行灰度更新，设置每批次观察时长，当检测到新版本将从第一批次重新观察，保持在低风险中完成安全能力更新。</w:t>
      </w:r>
    </w:p>
    <w:p w14:paraId="039BB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（3）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支持安全防护模块防退出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密码保护、防卸载。支持设置自我保护功能。</w:t>
      </w:r>
    </w:p>
    <w:p w14:paraId="7F647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（4）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支持针对单个扫描任务提供完整病毒分析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包含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终端完成分布、检出威胁率、病毒处理结果分布、发现威胁终端TOP10、病毒类型TOP10、终端分组TOP10、病毒名称 TOP10、病毒文件TOP10、病毒路径TOP10、勒索程序 TOP10、挖矿木马TOP10、WebShell 木马TOP10。</w:t>
      </w:r>
    </w:p>
    <w:p w14:paraId="320106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（5）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支持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自定义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多个时间段完成一次全盘扫描，支持对压缩包内的病毒扫描，支持多层压缩包的扫描，可自定义配置压缩包的扫描层数，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压缩包层数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≥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val="en-US" w:eastAsia="zh-CN"/>
        </w:rPr>
        <w:t>10层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。</w:t>
      </w:r>
    </w:p>
    <w:sectPr>
      <w:pgSz w:w="11906" w:h="16838"/>
      <w:pgMar w:top="2154" w:right="1474" w:bottom="209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AEE327B2-3F1F-4D5F-A285-CE1239D6019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5043A5"/>
    <w:multiLevelType w:val="multilevel"/>
    <w:tmpl w:val="125043A5"/>
    <w:lvl w:ilvl="0" w:tentative="0">
      <w:start w:val="1"/>
      <w:numFmt w:val="chineseCountingThousand"/>
      <w:pStyle w:val="4"/>
      <w:suff w:val="space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5"/>
      <w:isLgl/>
      <w:suff w:val="space"/>
      <w:lvlText w:val="%1.%2"/>
      <w:lvlJc w:val="left"/>
      <w:pPr>
        <w:ind w:left="284" w:firstLine="0"/>
      </w:pPr>
      <w:rPr>
        <w:rFonts w:hint="eastAsia"/>
      </w:rPr>
    </w:lvl>
    <w:lvl w:ilvl="2" w:tentative="0">
      <w:start w:val="1"/>
      <w:numFmt w:val="decimal"/>
      <w:isLgl/>
      <w:suff w:val="space"/>
      <w:lvlText w:val="%1.%2.%3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isLgl/>
      <w:suff w:val="space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isLgl/>
      <w:suff w:val="space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isLgl/>
      <w:suff w:val="space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isLgl/>
      <w:suff w:val="space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isLgl/>
      <w:suff w:val="space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TrueTypeFonts/>
  <w:saveSubsetFonts/>
  <w:bordersDoNotSurroundHeader w:val="0"/>
  <w:bordersDoNotSurroundFooter w:val="0"/>
  <w:documentProtection w:enforcement="0"/>
  <w:defaultTabStop w:val="314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0F2"/>
    <w:rsid w:val="000A42AC"/>
    <w:rsid w:val="0019633E"/>
    <w:rsid w:val="0025549C"/>
    <w:rsid w:val="004D6544"/>
    <w:rsid w:val="006F3642"/>
    <w:rsid w:val="007F50F2"/>
    <w:rsid w:val="00A330BE"/>
    <w:rsid w:val="00A64154"/>
    <w:rsid w:val="00B033E6"/>
    <w:rsid w:val="00D36D54"/>
    <w:rsid w:val="00E71C73"/>
    <w:rsid w:val="00F53C9F"/>
    <w:rsid w:val="00FA399F"/>
    <w:rsid w:val="0933542B"/>
    <w:rsid w:val="0CCC6FF7"/>
    <w:rsid w:val="10817E99"/>
    <w:rsid w:val="13467BB5"/>
    <w:rsid w:val="16805F56"/>
    <w:rsid w:val="184A32BF"/>
    <w:rsid w:val="1D3F5364"/>
    <w:rsid w:val="1E233797"/>
    <w:rsid w:val="1F011D5D"/>
    <w:rsid w:val="252C2934"/>
    <w:rsid w:val="25F442F8"/>
    <w:rsid w:val="286965C3"/>
    <w:rsid w:val="29926845"/>
    <w:rsid w:val="29DB32AA"/>
    <w:rsid w:val="2A08069D"/>
    <w:rsid w:val="2C1720CB"/>
    <w:rsid w:val="2C19085B"/>
    <w:rsid w:val="314F17B4"/>
    <w:rsid w:val="383438BF"/>
    <w:rsid w:val="3CA31DD4"/>
    <w:rsid w:val="3DA52F44"/>
    <w:rsid w:val="3DC433D6"/>
    <w:rsid w:val="3E4405D4"/>
    <w:rsid w:val="3FC41503"/>
    <w:rsid w:val="42B63C9F"/>
    <w:rsid w:val="49CB74CA"/>
    <w:rsid w:val="4BEA2668"/>
    <w:rsid w:val="4C547C35"/>
    <w:rsid w:val="505C0F78"/>
    <w:rsid w:val="52CD3488"/>
    <w:rsid w:val="53DC7D0F"/>
    <w:rsid w:val="55A64A77"/>
    <w:rsid w:val="57571CD8"/>
    <w:rsid w:val="598E4F31"/>
    <w:rsid w:val="5CA83A67"/>
    <w:rsid w:val="5FBC1A20"/>
    <w:rsid w:val="63DD378F"/>
    <w:rsid w:val="675932C8"/>
    <w:rsid w:val="683230C8"/>
    <w:rsid w:val="695579BE"/>
    <w:rsid w:val="6A223640"/>
    <w:rsid w:val="6B034F2F"/>
    <w:rsid w:val="6D5E670D"/>
    <w:rsid w:val="6D626847"/>
    <w:rsid w:val="706517F5"/>
    <w:rsid w:val="7066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numPr>
        <w:ilvl w:val="0"/>
        <w:numId w:val="1"/>
      </w:numPr>
      <w:spacing w:before="160" w:after="160"/>
      <w:outlineLvl w:val="0"/>
    </w:pPr>
    <w:rPr>
      <w:b/>
      <w:bCs/>
      <w:kern w:val="44"/>
      <w:sz w:val="32"/>
      <w:szCs w:val="44"/>
    </w:rPr>
  </w:style>
  <w:style w:type="paragraph" w:styleId="5">
    <w:name w:val="heading 2"/>
    <w:basedOn w:val="1"/>
    <w:next w:val="1"/>
    <w:qFormat/>
    <w:uiPriority w:val="1"/>
    <w:pPr>
      <w:keepNext/>
      <w:keepLines/>
      <w:numPr>
        <w:ilvl w:val="1"/>
        <w:numId w:val="1"/>
      </w:numPr>
      <w:spacing w:before="160" w:after="160"/>
      <w:ind w:left="0"/>
      <w:outlineLvl w:val="1"/>
    </w:pPr>
    <w:rPr>
      <w:b/>
      <w:bCs/>
      <w:sz w:val="30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99"/>
    <w:pPr>
      <w:spacing w:line="275" w:lineRule="atLeast"/>
      <w:textAlignment w:val="baseline"/>
    </w:pPr>
    <w:rPr>
      <w:rFonts w:ascii="Times New Roman" w:hAnsi="Times New Roman" w:eastAsia="宋体"/>
      <w:kern w:val="0"/>
      <w:szCs w:val="24"/>
    </w:rPr>
  </w:style>
  <w:style w:type="paragraph" w:styleId="3">
    <w:name w:val="Body Text"/>
    <w:basedOn w:val="1"/>
    <w:next w:val="1"/>
    <w:qFormat/>
    <w:uiPriority w:val="0"/>
    <w:rPr>
      <w:rFonts w:ascii="楷体_GB2312" w:hAnsi="Arial" w:eastAsia="楷体_GB2312"/>
      <w:sz w:val="28"/>
      <w:szCs w:val="2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rPr>
      <w:sz w:val="24"/>
    </w:rPr>
  </w:style>
  <w:style w:type="character" w:customStyle="1" w:styleId="11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21"/>
    <w:basedOn w:val="10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3">
    <w:name w:val="font41"/>
    <w:basedOn w:val="10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4">
    <w:name w:val="font31"/>
    <w:basedOn w:val="10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4224</Words>
  <Characters>4789</Characters>
  <Lines>105</Lines>
  <Paragraphs>41</Paragraphs>
  <TotalTime>21</TotalTime>
  <ScaleCrop>false</ScaleCrop>
  <LinksUpToDate>false</LinksUpToDate>
  <CharactersWithSpaces>4872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2024-04-03T06:22:00Z</dcterms:created>
  <dc:creator>Administrator</dc:creator>
  <cp:lastModifiedBy>Administrator</cp:lastModifiedBy>
  <cp:lastPrinted>2026-03-05T06:38:00Z</cp:lastPrinted>
  <dcterms:modified xsi:type="dcterms:W3CDTF">2026-05-18T00:35:55Z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D8D1514086484C449B8713FF5B3747D0_12</vt:lpwstr>
  </property>
  <property fmtid="{D5CDD505-2E9C-101B-9397-08002B2CF9AE}" pid="4" name="KSOTemplateDocerSaveRecord">
    <vt:lpwstr>eyJoZGlkIjoiMzNmN2QyYWRlNzM3OGE4NDgyNmFiNmQ5YmIyOGRhMzIiLCJ1c2VySWQiOiIxNjY1MDgyMTk5In0=</vt:lpwstr>
  </property>
</Properties>
</file>