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全数字病理科信息化平台</w:t>
      </w:r>
    </w:p>
    <w:p>
      <w:pPr>
        <w:jc w:val="center"/>
        <w:rPr>
          <w:rFonts w:hint="eastAsia" w:ascii="宋体" w:hAnsi="宋体" w:eastAsia="宋体" w:cs="宋体"/>
          <w:b/>
          <w:bCs/>
          <w:sz w:val="52"/>
          <w:szCs w:val="52"/>
        </w:rPr>
      </w:pPr>
      <w:r>
        <w:rPr>
          <w:rFonts w:hint="eastAsia" w:ascii="宋体" w:hAnsi="宋体" w:eastAsia="宋体" w:cs="宋体"/>
          <w:b/>
          <w:bCs/>
          <w:sz w:val="52"/>
          <w:szCs w:val="52"/>
        </w:rPr>
        <w:t>软硬件配置清单</w:t>
      </w:r>
    </w:p>
    <w:tbl>
      <w:tblPr>
        <w:tblStyle w:val="4"/>
        <w:tblpPr w:leftFromText="180" w:rightFromText="180" w:vertAnchor="text" w:horzAnchor="margin" w:tblpY="634"/>
        <w:tblOverlap w:val="never"/>
        <w:tblW w:w="830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66"/>
        <w:gridCol w:w="1075"/>
        <w:gridCol w:w="2983"/>
        <w:gridCol w:w="1704"/>
        <w:gridCol w:w="127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7" w:hRule="atLeast"/>
        </w:trPr>
        <w:tc>
          <w:tcPr>
            <w:tcW w:w="8307" w:type="dxa"/>
            <w:gridSpan w:val="5"/>
            <w:tcBorders>
              <w:top w:val="single" w:color="000000" w:sz="4" w:space="0"/>
              <w:bottom w:val="single" w:color="000000" w:sz="4" w:space="0"/>
              <w:right w:val="single" w:color="000000" w:sz="6" w:space="0"/>
            </w:tcBorders>
            <w:vAlign w:val="center"/>
          </w:tcPr>
          <w:p>
            <w:pPr>
              <w:pStyle w:val="9"/>
              <w:ind w:left="109"/>
              <w:jc w:val="left"/>
              <w:rPr>
                <w:rFonts w:hint="eastAsia" w:ascii="宋体" w:hAnsi="宋体" w:eastAsia="宋体" w:cs="宋体"/>
                <w:bCs/>
                <w:color w:val="000000" w:themeColor="text1"/>
                <w:sz w:val="19"/>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软件清单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7" w:hRule="atLeast"/>
        </w:trPr>
        <w:tc>
          <w:tcPr>
            <w:tcW w:w="1266" w:type="dxa"/>
            <w:tcBorders>
              <w:top w:val="single" w:color="000000" w:sz="4" w:space="0"/>
              <w:bottom w:val="single" w:color="000000" w:sz="4" w:space="0"/>
              <w:right w:val="single" w:color="000000" w:sz="4" w:space="0"/>
            </w:tcBorders>
          </w:tcPr>
          <w:p>
            <w:pPr>
              <w:pStyle w:val="9"/>
              <w:spacing w:before="8"/>
              <w:jc w:val="center"/>
              <w:rPr>
                <w:rFonts w:hint="eastAsia" w:ascii="宋体" w:hAnsi="宋体" w:eastAsia="宋体" w:cs="宋体"/>
                <w:bCs/>
                <w:color w:val="000000" w:themeColor="text1"/>
                <w:sz w:val="19"/>
                <w14:textFill>
                  <w14:solidFill>
                    <w14:schemeClr w14:val="tx1"/>
                  </w14:solidFill>
                </w14:textFill>
              </w:rPr>
            </w:pPr>
          </w:p>
          <w:p>
            <w:pPr>
              <w:pStyle w:val="9"/>
              <w:spacing w:before="8"/>
              <w:jc w:val="center"/>
              <w:rPr>
                <w:rFonts w:hint="eastAsia" w:ascii="宋体" w:hAnsi="宋体" w:eastAsia="宋体" w:cs="宋体"/>
                <w:bCs/>
                <w:color w:val="000000" w:themeColor="text1"/>
                <w:sz w:val="19"/>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序号</w:t>
            </w:r>
          </w:p>
        </w:tc>
        <w:tc>
          <w:tcPr>
            <w:tcW w:w="4058" w:type="dxa"/>
            <w:gridSpan w:val="2"/>
            <w:tcBorders>
              <w:top w:val="single" w:color="000000" w:sz="4" w:space="0"/>
              <w:left w:val="single" w:color="000000" w:sz="4" w:space="0"/>
              <w:bottom w:val="single" w:color="000000" w:sz="4" w:space="0"/>
              <w:right w:val="single" w:color="000000" w:sz="6" w:space="0"/>
            </w:tcBorders>
          </w:tcPr>
          <w:p>
            <w:pPr>
              <w:pStyle w:val="9"/>
              <w:spacing w:before="8"/>
              <w:jc w:val="center"/>
              <w:rPr>
                <w:rFonts w:hint="eastAsia" w:ascii="宋体" w:hAnsi="宋体" w:eastAsia="宋体" w:cs="宋体"/>
                <w:bCs/>
                <w:color w:val="000000" w:themeColor="text1"/>
                <w:sz w:val="19"/>
                <w14:textFill>
                  <w14:solidFill>
                    <w14:schemeClr w14:val="tx1"/>
                  </w14:solidFill>
                </w14:textFill>
              </w:rPr>
            </w:pPr>
          </w:p>
          <w:p>
            <w:pPr>
              <w:pStyle w:val="9"/>
              <w:spacing w:before="8"/>
              <w:jc w:val="center"/>
              <w:rPr>
                <w:rFonts w:hint="eastAsia" w:ascii="宋体" w:hAnsi="宋体" w:eastAsia="宋体" w:cs="宋体"/>
                <w:bCs/>
                <w:color w:val="000000" w:themeColor="text1"/>
                <w:sz w:val="19"/>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产品名称</w:t>
            </w:r>
          </w:p>
        </w:tc>
        <w:tc>
          <w:tcPr>
            <w:tcW w:w="1704" w:type="dxa"/>
            <w:tcBorders>
              <w:top w:val="single" w:color="000000" w:sz="6" w:space="0"/>
              <w:left w:val="single" w:color="000000" w:sz="4" w:space="0"/>
              <w:bottom w:val="single" w:color="000000" w:sz="4" w:space="0"/>
              <w:right w:val="single" w:color="000000" w:sz="6" w:space="0"/>
            </w:tcBorders>
          </w:tcPr>
          <w:p>
            <w:pPr>
              <w:pStyle w:val="9"/>
              <w:spacing w:before="8"/>
              <w:jc w:val="center"/>
              <w:rPr>
                <w:rFonts w:hint="eastAsia" w:ascii="宋体" w:hAnsi="宋体" w:eastAsia="宋体" w:cs="宋体"/>
                <w:bCs/>
                <w:color w:val="000000" w:themeColor="text1"/>
                <w:sz w:val="19"/>
                <w14:textFill>
                  <w14:solidFill>
                    <w14:schemeClr w14:val="tx1"/>
                  </w14:solidFill>
                </w14:textFill>
              </w:rPr>
            </w:pPr>
          </w:p>
          <w:p>
            <w:pPr>
              <w:pStyle w:val="9"/>
              <w:spacing w:before="8"/>
              <w:jc w:val="center"/>
              <w:rPr>
                <w:rFonts w:hint="eastAsia" w:ascii="宋体" w:hAnsi="宋体" w:eastAsia="宋体" w:cs="宋体"/>
                <w:bCs/>
                <w:color w:val="000000" w:themeColor="text1"/>
                <w:sz w:val="19"/>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数量</w:t>
            </w:r>
          </w:p>
        </w:tc>
        <w:tc>
          <w:tcPr>
            <w:tcW w:w="1279" w:type="dxa"/>
            <w:tcBorders>
              <w:top w:val="single" w:color="000000" w:sz="6" w:space="0"/>
              <w:left w:val="single" w:color="000000" w:sz="6" w:space="0"/>
              <w:bottom w:val="single" w:color="000000" w:sz="4" w:space="0"/>
              <w:right w:val="single" w:color="000000" w:sz="6" w:space="0"/>
            </w:tcBorders>
          </w:tcPr>
          <w:p>
            <w:pPr>
              <w:pStyle w:val="9"/>
              <w:spacing w:before="8"/>
              <w:jc w:val="center"/>
              <w:rPr>
                <w:rFonts w:hint="eastAsia" w:ascii="宋体" w:hAnsi="宋体" w:eastAsia="宋体" w:cs="宋体"/>
                <w:bCs/>
                <w:color w:val="000000" w:themeColor="text1"/>
                <w:sz w:val="19"/>
                <w14:textFill>
                  <w14:solidFill>
                    <w14:schemeClr w14:val="tx1"/>
                  </w14:solidFill>
                </w14:textFill>
              </w:rPr>
            </w:pPr>
          </w:p>
          <w:p>
            <w:pPr>
              <w:pStyle w:val="9"/>
              <w:spacing w:before="8"/>
              <w:jc w:val="center"/>
              <w:rPr>
                <w:rFonts w:hint="eastAsia" w:ascii="宋体" w:hAnsi="宋体" w:eastAsia="宋体" w:cs="宋体"/>
                <w:bCs/>
                <w:color w:val="000000" w:themeColor="text1"/>
                <w:sz w:val="19"/>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7" w:hRule="atLeast"/>
        </w:trPr>
        <w:tc>
          <w:tcPr>
            <w:tcW w:w="1266" w:type="dxa"/>
            <w:tcBorders>
              <w:top w:val="single" w:color="000000" w:sz="4" w:space="0"/>
              <w:bottom w:val="single" w:color="000000" w:sz="4" w:space="0"/>
              <w:right w:val="single" w:color="000000" w:sz="4" w:space="0"/>
            </w:tcBorders>
            <w:vAlign w:val="center"/>
          </w:tcPr>
          <w:p>
            <w:pPr>
              <w:pStyle w:val="9"/>
              <w:spacing w:before="8"/>
              <w:jc w:val="center"/>
              <w:rPr>
                <w:rFonts w:hint="eastAsia" w:ascii="宋体" w:hAnsi="宋体" w:eastAsia="宋体" w:cs="宋体"/>
                <w:bCs/>
                <w:color w:val="000000" w:themeColor="text1"/>
                <w:sz w:val="24"/>
                <w:lang w:val="en-US"/>
                <w14:textFill>
                  <w14:solidFill>
                    <w14:schemeClr w14:val="tx1"/>
                  </w14:solidFill>
                </w14:textFill>
              </w:rPr>
            </w:pPr>
            <w:r>
              <w:rPr>
                <w:rFonts w:hint="eastAsia" w:ascii="宋体" w:hAnsi="宋体" w:eastAsia="宋体" w:cs="宋体"/>
                <w:bCs/>
                <w:color w:val="000000" w:themeColor="text1"/>
                <w:sz w:val="24"/>
                <w:lang w:val="en-US"/>
                <w14:textFill>
                  <w14:solidFill>
                    <w14:schemeClr w14:val="tx1"/>
                  </w14:solidFill>
                </w14:textFill>
              </w:rPr>
              <w:t>1</w:t>
            </w:r>
          </w:p>
        </w:tc>
        <w:tc>
          <w:tcPr>
            <w:tcW w:w="4058" w:type="dxa"/>
            <w:gridSpan w:val="2"/>
            <w:tcBorders>
              <w:top w:val="single" w:color="000000" w:sz="4" w:space="0"/>
              <w:left w:val="single" w:color="000000" w:sz="4" w:space="0"/>
              <w:bottom w:val="single" w:color="000000" w:sz="4" w:space="0"/>
              <w:right w:val="single" w:color="000000" w:sz="6" w:space="0"/>
            </w:tcBorders>
            <w:vAlign w:val="center"/>
          </w:tcPr>
          <w:p>
            <w:pPr>
              <w:pStyle w:val="9"/>
              <w:spacing w:before="8"/>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sz w:val="22"/>
              </w:rPr>
              <w:t>接收工作站</w:t>
            </w:r>
          </w:p>
        </w:tc>
        <w:tc>
          <w:tcPr>
            <w:tcW w:w="1704" w:type="dxa"/>
            <w:tcBorders>
              <w:top w:val="single" w:color="000000" w:sz="6" w:space="0"/>
              <w:left w:val="single" w:color="000000" w:sz="4" w:space="0"/>
              <w:bottom w:val="single" w:color="000000" w:sz="4" w:space="0"/>
              <w:right w:val="single" w:color="000000" w:sz="6" w:space="0"/>
            </w:tcBorders>
            <w:vAlign w:val="center"/>
          </w:tcPr>
          <w:p>
            <w:pPr>
              <w:pStyle w:val="9"/>
              <w:jc w:val="center"/>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sz w:val="22"/>
              </w:rPr>
              <w:t>1</w:t>
            </w:r>
          </w:p>
        </w:tc>
        <w:tc>
          <w:tcPr>
            <w:tcW w:w="1279" w:type="dxa"/>
            <w:tcBorders>
              <w:top w:val="single" w:color="000000" w:sz="6" w:space="0"/>
              <w:left w:val="single" w:color="000000" w:sz="6" w:space="0"/>
              <w:bottom w:val="single" w:color="000000" w:sz="4" w:space="0"/>
              <w:right w:val="single" w:color="000000" w:sz="6" w:space="0"/>
            </w:tcBorders>
            <w:vAlign w:val="center"/>
          </w:tcPr>
          <w:p>
            <w:pPr>
              <w:pStyle w:val="9"/>
              <w:spacing w:before="8"/>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7" w:hRule="atLeast"/>
        </w:trPr>
        <w:tc>
          <w:tcPr>
            <w:tcW w:w="1266" w:type="dxa"/>
            <w:tcBorders>
              <w:top w:val="single" w:color="000000" w:sz="4" w:space="0"/>
              <w:bottom w:val="single" w:color="000000" w:sz="4" w:space="0"/>
              <w:right w:val="single" w:color="000000" w:sz="4" w:space="0"/>
            </w:tcBorders>
            <w:vAlign w:val="center"/>
          </w:tcPr>
          <w:p>
            <w:pPr>
              <w:pStyle w:val="9"/>
              <w:spacing w:before="8"/>
              <w:jc w:val="center"/>
              <w:rPr>
                <w:rFonts w:hint="eastAsia" w:ascii="宋体" w:hAnsi="宋体" w:eastAsia="宋体" w:cs="宋体"/>
                <w:bCs/>
                <w:color w:val="000000" w:themeColor="text1"/>
                <w:sz w:val="24"/>
                <w:lang w:val="en-US"/>
                <w14:textFill>
                  <w14:solidFill>
                    <w14:schemeClr w14:val="tx1"/>
                  </w14:solidFill>
                </w14:textFill>
              </w:rPr>
            </w:pPr>
            <w:r>
              <w:rPr>
                <w:rFonts w:hint="eastAsia" w:ascii="宋体" w:hAnsi="宋体" w:eastAsia="宋体" w:cs="宋体"/>
                <w:bCs/>
                <w:color w:val="000000" w:themeColor="text1"/>
                <w:sz w:val="24"/>
                <w:lang w:val="en-US"/>
                <w14:textFill>
                  <w14:solidFill>
                    <w14:schemeClr w14:val="tx1"/>
                  </w14:solidFill>
                </w14:textFill>
              </w:rPr>
              <w:t>2</w:t>
            </w:r>
          </w:p>
        </w:tc>
        <w:tc>
          <w:tcPr>
            <w:tcW w:w="4058" w:type="dxa"/>
            <w:gridSpan w:val="2"/>
            <w:tcBorders>
              <w:top w:val="single" w:color="000000" w:sz="4" w:space="0"/>
              <w:left w:val="single" w:color="000000" w:sz="4" w:space="0"/>
              <w:bottom w:val="single" w:color="000000" w:sz="4" w:space="0"/>
              <w:right w:val="single" w:color="000000" w:sz="6" w:space="0"/>
            </w:tcBorders>
            <w:vAlign w:val="center"/>
          </w:tcPr>
          <w:p>
            <w:pPr>
              <w:pStyle w:val="9"/>
              <w:spacing w:before="8"/>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sz w:val="22"/>
              </w:rPr>
              <w:t>取材工作站</w:t>
            </w:r>
          </w:p>
        </w:tc>
        <w:tc>
          <w:tcPr>
            <w:tcW w:w="1704" w:type="dxa"/>
            <w:tcBorders>
              <w:top w:val="single" w:color="000000" w:sz="6" w:space="0"/>
              <w:left w:val="single" w:color="000000" w:sz="4" w:space="0"/>
              <w:bottom w:val="single" w:color="000000" w:sz="4" w:space="0"/>
              <w:right w:val="single" w:color="000000" w:sz="6" w:space="0"/>
            </w:tcBorders>
            <w:vAlign w:val="center"/>
          </w:tcPr>
          <w:p>
            <w:pPr>
              <w:pStyle w:val="9"/>
              <w:jc w:val="center"/>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sz w:val="22"/>
              </w:rPr>
              <w:t>1</w:t>
            </w:r>
          </w:p>
        </w:tc>
        <w:tc>
          <w:tcPr>
            <w:tcW w:w="1279" w:type="dxa"/>
            <w:tcBorders>
              <w:top w:val="single" w:color="000000" w:sz="6" w:space="0"/>
              <w:left w:val="single" w:color="000000" w:sz="6" w:space="0"/>
              <w:bottom w:val="single" w:color="000000" w:sz="4" w:space="0"/>
              <w:right w:val="single" w:color="000000" w:sz="6" w:space="0"/>
            </w:tcBorders>
            <w:vAlign w:val="center"/>
          </w:tcPr>
          <w:p>
            <w:pPr>
              <w:pStyle w:val="9"/>
              <w:spacing w:before="8"/>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7" w:hRule="atLeast"/>
        </w:trPr>
        <w:tc>
          <w:tcPr>
            <w:tcW w:w="1266" w:type="dxa"/>
            <w:tcBorders>
              <w:top w:val="single" w:color="000000" w:sz="4" w:space="0"/>
              <w:bottom w:val="single" w:color="000000" w:sz="4" w:space="0"/>
              <w:right w:val="single" w:color="000000" w:sz="4" w:space="0"/>
            </w:tcBorders>
            <w:vAlign w:val="center"/>
          </w:tcPr>
          <w:p>
            <w:pPr>
              <w:pStyle w:val="9"/>
              <w:spacing w:before="8"/>
              <w:jc w:val="center"/>
              <w:rPr>
                <w:rFonts w:hint="eastAsia" w:ascii="宋体" w:hAnsi="宋体" w:eastAsia="宋体" w:cs="宋体"/>
                <w:bCs/>
                <w:color w:val="000000" w:themeColor="text1"/>
                <w:sz w:val="24"/>
                <w:lang w:val="en-US"/>
                <w14:textFill>
                  <w14:solidFill>
                    <w14:schemeClr w14:val="tx1"/>
                  </w14:solidFill>
                </w14:textFill>
              </w:rPr>
            </w:pPr>
            <w:r>
              <w:rPr>
                <w:rFonts w:hint="eastAsia" w:ascii="宋体" w:hAnsi="宋体" w:eastAsia="宋体" w:cs="宋体"/>
                <w:bCs/>
                <w:color w:val="000000" w:themeColor="text1"/>
                <w:sz w:val="24"/>
                <w:lang w:val="en-US"/>
                <w14:textFill>
                  <w14:solidFill>
                    <w14:schemeClr w14:val="tx1"/>
                  </w14:solidFill>
                </w14:textFill>
              </w:rPr>
              <w:t>3</w:t>
            </w:r>
          </w:p>
        </w:tc>
        <w:tc>
          <w:tcPr>
            <w:tcW w:w="4058" w:type="dxa"/>
            <w:gridSpan w:val="2"/>
            <w:tcBorders>
              <w:top w:val="single" w:color="000000" w:sz="4" w:space="0"/>
              <w:left w:val="single" w:color="000000" w:sz="4" w:space="0"/>
              <w:bottom w:val="single" w:color="000000" w:sz="4" w:space="0"/>
              <w:right w:val="single" w:color="000000" w:sz="6" w:space="0"/>
            </w:tcBorders>
            <w:vAlign w:val="center"/>
          </w:tcPr>
          <w:p>
            <w:pPr>
              <w:pStyle w:val="9"/>
              <w:spacing w:before="8"/>
              <w:rPr>
                <w:rFonts w:hint="eastAsia" w:ascii="宋体" w:hAnsi="宋体" w:eastAsia="宋体" w:cs="宋体"/>
                <w:color w:val="000000"/>
                <w:kern w:val="0"/>
                <w:sz w:val="24"/>
              </w:rPr>
            </w:pPr>
            <w:r>
              <w:rPr>
                <w:rFonts w:hint="eastAsia" w:ascii="宋体" w:hAnsi="宋体" w:eastAsia="宋体" w:cs="宋体"/>
                <w:sz w:val="22"/>
              </w:rPr>
              <w:t>描写工作站</w:t>
            </w:r>
          </w:p>
        </w:tc>
        <w:tc>
          <w:tcPr>
            <w:tcW w:w="1704" w:type="dxa"/>
            <w:tcBorders>
              <w:top w:val="single" w:color="000000" w:sz="6" w:space="0"/>
              <w:left w:val="single" w:color="000000" w:sz="4" w:space="0"/>
              <w:bottom w:val="single" w:color="000000" w:sz="4" w:space="0"/>
              <w:right w:val="single" w:color="000000" w:sz="6" w:space="0"/>
            </w:tcBorders>
            <w:vAlign w:val="center"/>
          </w:tcPr>
          <w:p>
            <w:pPr>
              <w:pStyle w:val="9"/>
              <w:jc w:val="center"/>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sz w:val="22"/>
              </w:rPr>
              <w:t>1</w:t>
            </w:r>
          </w:p>
        </w:tc>
        <w:tc>
          <w:tcPr>
            <w:tcW w:w="1279" w:type="dxa"/>
            <w:tcBorders>
              <w:top w:val="single" w:color="000000" w:sz="6" w:space="0"/>
              <w:left w:val="single" w:color="000000" w:sz="6" w:space="0"/>
              <w:bottom w:val="single" w:color="000000" w:sz="4" w:space="0"/>
              <w:right w:val="single" w:color="000000" w:sz="6" w:space="0"/>
            </w:tcBorders>
            <w:vAlign w:val="center"/>
          </w:tcPr>
          <w:p>
            <w:pPr>
              <w:pStyle w:val="9"/>
              <w:spacing w:before="8"/>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7" w:hRule="atLeast"/>
        </w:trPr>
        <w:tc>
          <w:tcPr>
            <w:tcW w:w="1266" w:type="dxa"/>
            <w:tcBorders>
              <w:top w:val="single" w:color="000000" w:sz="4" w:space="0"/>
              <w:bottom w:val="single" w:color="000000" w:sz="4" w:space="0"/>
              <w:right w:val="single" w:color="000000" w:sz="4" w:space="0"/>
            </w:tcBorders>
            <w:vAlign w:val="center"/>
          </w:tcPr>
          <w:p>
            <w:pPr>
              <w:pStyle w:val="9"/>
              <w:spacing w:before="8"/>
              <w:jc w:val="center"/>
              <w:rPr>
                <w:rFonts w:hint="eastAsia" w:ascii="宋体" w:hAnsi="宋体" w:eastAsia="宋体" w:cs="宋体"/>
                <w:bCs/>
                <w:color w:val="000000" w:themeColor="text1"/>
                <w:sz w:val="24"/>
                <w:lang w:val="en-US"/>
                <w14:textFill>
                  <w14:solidFill>
                    <w14:schemeClr w14:val="tx1"/>
                  </w14:solidFill>
                </w14:textFill>
              </w:rPr>
            </w:pPr>
            <w:r>
              <w:rPr>
                <w:rFonts w:hint="eastAsia" w:ascii="宋体" w:hAnsi="宋体" w:eastAsia="宋体" w:cs="宋体"/>
                <w:bCs/>
                <w:color w:val="000000" w:themeColor="text1"/>
                <w:sz w:val="24"/>
                <w:lang w:val="en-US"/>
                <w14:textFill>
                  <w14:solidFill>
                    <w14:schemeClr w14:val="tx1"/>
                  </w14:solidFill>
                </w14:textFill>
              </w:rPr>
              <w:t>4</w:t>
            </w:r>
          </w:p>
        </w:tc>
        <w:tc>
          <w:tcPr>
            <w:tcW w:w="4058" w:type="dxa"/>
            <w:gridSpan w:val="2"/>
            <w:tcBorders>
              <w:top w:val="single" w:color="000000" w:sz="4" w:space="0"/>
              <w:left w:val="single" w:color="000000" w:sz="4" w:space="0"/>
              <w:bottom w:val="single" w:color="000000" w:sz="4" w:space="0"/>
              <w:right w:val="single" w:color="000000" w:sz="6" w:space="0"/>
            </w:tcBorders>
            <w:vAlign w:val="center"/>
          </w:tcPr>
          <w:p>
            <w:pPr>
              <w:pStyle w:val="9"/>
              <w:spacing w:before="8"/>
              <w:rPr>
                <w:rFonts w:hint="eastAsia" w:ascii="宋体" w:hAnsi="宋体" w:eastAsia="宋体" w:cs="宋体"/>
                <w:color w:val="000000"/>
                <w:kern w:val="0"/>
                <w:sz w:val="24"/>
              </w:rPr>
            </w:pPr>
            <w:r>
              <w:rPr>
                <w:rFonts w:hint="eastAsia" w:ascii="宋体" w:hAnsi="宋体" w:eastAsia="宋体" w:cs="宋体"/>
                <w:sz w:val="22"/>
              </w:rPr>
              <w:t>包埋/切片/医嘱工作站</w:t>
            </w:r>
          </w:p>
        </w:tc>
        <w:tc>
          <w:tcPr>
            <w:tcW w:w="1704" w:type="dxa"/>
            <w:tcBorders>
              <w:top w:val="single" w:color="000000" w:sz="6" w:space="0"/>
              <w:left w:val="single" w:color="000000" w:sz="4" w:space="0"/>
              <w:bottom w:val="single" w:color="000000" w:sz="4" w:space="0"/>
              <w:right w:val="single" w:color="000000" w:sz="6" w:space="0"/>
            </w:tcBorders>
            <w:vAlign w:val="center"/>
          </w:tcPr>
          <w:p>
            <w:pPr>
              <w:pStyle w:val="9"/>
              <w:jc w:val="center"/>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sz w:val="22"/>
              </w:rPr>
              <w:t>1</w:t>
            </w:r>
          </w:p>
        </w:tc>
        <w:tc>
          <w:tcPr>
            <w:tcW w:w="1279" w:type="dxa"/>
            <w:tcBorders>
              <w:top w:val="single" w:color="000000" w:sz="6" w:space="0"/>
              <w:left w:val="single" w:color="000000" w:sz="6" w:space="0"/>
              <w:bottom w:val="single" w:color="000000" w:sz="4" w:space="0"/>
              <w:right w:val="single" w:color="000000" w:sz="6" w:space="0"/>
            </w:tcBorders>
            <w:vAlign w:val="center"/>
          </w:tcPr>
          <w:p>
            <w:pPr>
              <w:pStyle w:val="9"/>
              <w:spacing w:before="8"/>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7" w:hRule="atLeast"/>
        </w:trPr>
        <w:tc>
          <w:tcPr>
            <w:tcW w:w="1266" w:type="dxa"/>
            <w:tcBorders>
              <w:top w:val="single" w:color="000000" w:sz="4" w:space="0"/>
              <w:bottom w:val="single" w:color="000000" w:sz="4" w:space="0"/>
              <w:right w:val="single" w:color="000000" w:sz="4" w:space="0"/>
            </w:tcBorders>
            <w:vAlign w:val="center"/>
          </w:tcPr>
          <w:p>
            <w:pPr>
              <w:pStyle w:val="9"/>
              <w:spacing w:before="8"/>
              <w:jc w:val="center"/>
              <w:rPr>
                <w:rFonts w:hint="eastAsia" w:ascii="宋体" w:hAnsi="宋体" w:eastAsia="宋体" w:cs="宋体"/>
                <w:bCs/>
                <w:color w:val="000000" w:themeColor="text1"/>
                <w:sz w:val="24"/>
                <w:lang w:val="en-US"/>
                <w14:textFill>
                  <w14:solidFill>
                    <w14:schemeClr w14:val="tx1"/>
                  </w14:solidFill>
                </w14:textFill>
              </w:rPr>
            </w:pPr>
            <w:r>
              <w:rPr>
                <w:rFonts w:hint="eastAsia" w:ascii="宋体" w:hAnsi="宋体" w:eastAsia="宋体" w:cs="宋体"/>
                <w:bCs/>
                <w:color w:val="000000" w:themeColor="text1"/>
                <w:sz w:val="24"/>
                <w:lang w:val="en-US"/>
                <w14:textFill>
                  <w14:solidFill>
                    <w14:schemeClr w14:val="tx1"/>
                  </w14:solidFill>
                </w14:textFill>
              </w:rPr>
              <w:t>5</w:t>
            </w:r>
          </w:p>
        </w:tc>
        <w:tc>
          <w:tcPr>
            <w:tcW w:w="4058" w:type="dxa"/>
            <w:gridSpan w:val="2"/>
            <w:tcBorders>
              <w:top w:val="single" w:color="000000" w:sz="4" w:space="0"/>
              <w:left w:val="single" w:color="000000" w:sz="4" w:space="0"/>
              <w:bottom w:val="single" w:color="000000" w:sz="4" w:space="0"/>
              <w:right w:val="single" w:color="000000" w:sz="6" w:space="0"/>
            </w:tcBorders>
            <w:vAlign w:val="center"/>
          </w:tcPr>
          <w:p>
            <w:pPr>
              <w:pStyle w:val="9"/>
              <w:spacing w:before="8"/>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sz w:val="22"/>
              </w:rPr>
              <w:t>诊断工作站（包含统计工作站，收费管理）</w:t>
            </w:r>
          </w:p>
        </w:tc>
        <w:tc>
          <w:tcPr>
            <w:tcW w:w="1704" w:type="dxa"/>
            <w:tcBorders>
              <w:top w:val="single" w:color="000000" w:sz="6" w:space="0"/>
              <w:left w:val="single" w:color="000000" w:sz="4" w:space="0"/>
              <w:bottom w:val="single" w:color="000000" w:sz="4" w:space="0"/>
              <w:right w:val="single" w:color="000000" w:sz="6" w:space="0"/>
            </w:tcBorders>
            <w:vAlign w:val="center"/>
          </w:tcPr>
          <w:p>
            <w:pPr>
              <w:pStyle w:val="9"/>
              <w:jc w:val="center"/>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sz w:val="22"/>
              </w:rPr>
              <w:t>3</w:t>
            </w:r>
          </w:p>
        </w:tc>
        <w:tc>
          <w:tcPr>
            <w:tcW w:w="1279" w:type="dxa"/>
            <w:tcBorders>
              <w:top w:val="single" w:color="000000" w:sz="6" w:space="0"/>
              <w:left w:val="single" w:color="000000" w:sz="6" w:space="0"/>
              <w:bottom w:val="single" w:color="000000" w:sz="4" w:space="0"/>
              <w:right w:val="single" w:color="000000" w:sz="6" w:space="0"/>
            </w:tcBorders>
            <w:vAlign w:val="center"/>
          </w:tcPr>
          <w:p>
            <w:pPr>
              <w:pStyle w:val="9"/>
              <w:spacing w:before="8"/>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7" w:hRule="atLeast"/>
        </w:trPr>
        <w:tc>
          <w:tcPr>
            <w:tcW w:w="1266" w:type="dxa"/>
            <w:tcBorders>
              <w:top w:val="single" w:color="000000" w:sz="4" w:space="0"/>
              <w:bottom w:val="single" w:color="000000" w:sz="4" w:space="0"/>
              <w:right w:val="single" w:color="000000" w:sz="4" w:space="0"/>
            </w:tcBorders>
            <w:vAlign w:val="center"/>
          </w:tcPr>
          <w:p>
            <w:pPr>
              <w:pStyle w:val="9"/>
              <w:spacing w:before="8"/>
              <w:jc w:val="center"/>
              <w:rPr>
                <w:rFonts w:hint="eastAsia" w:ascii="宋体" w:hAnsi="宋体" w:eastAsia="宋体" w:cs="宋体"/>
                <w:bCs/>
                <w:color w:val="000000" w:themeColor="text1"/>
                <w:sz w:val="24"/>
                <w:lang w:val="en-US"/>
                <w14:textFill>
                  <w14:solidFill>
                    <w14:schemeClr w14:val="tx1"/>
                  </w14:solidFill>
                </w14:textFill>
              </w:rPr>
            </w:pPr>
            <w:r>
              <w:rPr>
                <w:rFonts w:hint="eastAsia" w:ascii="宋体" w:hAnsi="宋体" w:eastAsia="宋体" w:cs="宋体"/>
                <w:bCs/>
                <w:color w:val="000000" w:themeColor="text1"/>
                <w:sz w:val="24"/>
                <w:lang w:val="en-US"/>
                <w14:textFill>
                  <w14:solidFill>
                    <w14:schemeClr w14:val="tx1"/>
                  </w14:solidFill>
                </w14:textFill>
              </w:rPr>
              <w:t>6</w:t>
            </w:r>
          </w:p>
        </w:tc>
        <w:tc>
          <w:tcPr>
            <w:tcW w:w="4058" w:type="dxa"/>
            <w:gridSpan w:val="2"/>
            <w:tcBorders>
              <w:top w:val="single" w:color="000000" w:sz="4" w:space="0"/>
              <w:left w:val="single" w:color="000000" w:sz="4" w:space="0"/>
              <w:bottom w:val="single" w:color="000000" w:sz="4" w:space="0"/>
              <w:right w:val="single" w:color="000000" w:sz="6" w:space="0"/>
            </w:tcBorders>
            <w:vAlign w:val="center"/>
          </w:tcPr>
          <w:p>
            <w:pPr>
              <w:pStyle w:val="9"/>
              <w:spacing w:before="8"/>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sz w:val="22"/>
              </w:rPr>
              <w:t>免疫组化/特染工作站</w:t>
            </w:r>
          </w:p>
        </w:tc>
        <w:tc>
          <w:tcPr>
            <w:tcW w:w="1704" w:type="dxa"/>
            <w:tcBorders>
              <w:top w:val="single" w:color="000000" w:sz="6" w:space="0"/>
              <w:left w:val="single" w:color="000000" w:sz="4" w:space="0"/>
              <w:bottom w:val="single" w:color="000000" w:sz="4" w:space="0"/>
              <w:right w:val="single" w:color="000000" w:sz="6" w:space="0"/>
            </w:tcBorders>
            <w:vAlign w:val="center"/>
          </w:tcPr>
          <w:p>
            <w:pPr>
              <w:pStyle w:val="9"/>
              <w:jc w:val="center"/>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sz w:val="22"/>
              </w:rPr>
              <w:t>1</w:t>
            </w:r>
          </w:p>
        </w:tc>
        <w:tc>
          <w:tcPr>
            <w:tcW w:w="1279" w:type="dxa"/>
            <w:tcBorders>
              <w:top w:val="single" w:color="000000" w:sz="6" w:space="0"/>
              <w:left w:val="single" w:color="000000" w:sz="6" w:space="0"/>
              <w:bottom w:val="single" w:color="000000" w:sz="4" w:space="0"/>
              <w:right w:val="single" w:color="000000" w:sz="6" w:space="0"/>
            </w:tcBorders>
            <w:vAlign w:val="center"/>
          </w:tcPr>
          <w:p>
            <w:pPr>
              <w:pStyle w:val="9"/>
              <w:spacing w:before="8"/>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7" w:hRule="atLeast"/>
        </w:trPr>
        <w:tc>
          <w:tcPr>
            <w:tcW w:w="1266" w:type="dxa"/>
            <w:tcBorders>
              <w:top w:val="single" w:color="000000" w:sz="4" w:space="0"/>
              <w:bottom w:val="single" w:color="000000" w:sz="4" w:space="0"/>
              <w:right w:val="single" w:color="000000" w:sz="4" w:space="0"/>
            </w:tcBorders>
            <w:vAlign w:val="center"/>
          </w:tcPr>
          <w:p>
            <w:pPr>
              <w:pStyle w:val="9"/>
              <w:spacing w:before="8"/>
              <w:jc w:val="center"/>
              <w:rPr>
                <w:rFonts w:hint="eastAsia" w:ascii="宋体" w:hAnsi="宋体" w:eastAsia="宋体" w:cs="宋体"/>
                <w:bCs/>
                <w:color w:val="000000" w:themeColor="text1"/>
                <w:sz w:val="24"/>
                <w:lang w:val="en-US"/>
                <w14:textFill>
                  <w14:solidFill>
                    <w14:schemeClr w14:val="tx1"/>
                  </w14:solidFill>
                </w14:textFill>
              </w:rPr>
            </w:pPr>
            <w:r>
              <w:rPr>
                <w:rFonts w:hint="eastAsia" w:ascii="宋体" w:hAnsi="宋体" w:eastAsia="宋体" w:cs="宋体"/>
                <w:bCs/>
                <w:color w:val="000000" w:themeColor="text1"/>
                <w:sz w:val="24"/>
                <w:lang w:val="en-US"/>
                <w14:textFill>
                  <w14:solidFill>
                    <w14:schemeClr w14:val="tx1"/>
                  </w14:solidFill>
                </w14:textFill>
              </w:rPr>
              <w:t>7</w:t>
            </w:r>
          </w:p>
        </w:tc>
        <w:tc>
          <w:tcPr>
            <w:tcW w:w="4058" w:type="dxa"/>
            <w:gridSpan w:val="2"/>
            <w:tcBorders>
              <w:top w:val="single" w:color="000000" w:sz="4" w:space="0"/>
              <w:left w:val="single" w:color="000000" w:sz="4" w:space="0"/>
              <w:bottom w:val="single" w:color="000000" w:sz="4" w:space="0"/>
              <w:right w:val="single" w:color="000000" w:sz="6" w:space="0"/>
            </w:tcBorders>
            <w:vAlign w:val="center"/>
          </w:tcPr>
          <w:p>
            <w:pPr>
              <w:pStyle w:val="9"/>
              <w:spacing w:before="8"/>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sz w:val="22"/>
              </w:rPr>
              <w:t>细胞学/液基细胞工作站</w:t>
            </w:r>
          </w:p>
        </w:tc>
        <w:tc>
          <w:tcPr>
            <w:tcW w:w="1704" w:type="dxa"/>
            <w:tcBorders>
              <w:top w:val="single" w:color="000000" w:sz="6" w:space="0"/>
              <w:left w:val="single" w:color="000000" w:sz="4" w:space="0"/>
              <w:bottom w:val="single" w:color="000000" w:sz="4" w:space="0"/>
              <w:right w:val="single" w:color="000000" w:sz="6" w:space="0"/>
            </w:tcBorders>
            <w:vAlign w:val="center"/>
          </w:tcPr>
          <w:p>
            <w:pPr>
              <w:pStyle w:val="9"/>
              <w:jc w:val="center"/>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sz w:val="22"/>
              </w:rPr>
              <w:t>1</w:t>
            </w:r>
          </w:p>
        </w:tc>
        <w:tc>
          <w:tcPr>
            <w:tcW w:w="1279" w:type="dxa"/>
            <w:tcBorders>
              <w:top w:val="single" w:color="000000" w:sz="6" w:space="0"/>
              <w:left w:val="single" w:color="000000" w:sz="6" w:space="0"/>
              <w:bottom w:val="single" w:color="000000" w:sz="4" w:space="0"/>
              <w:right w:val="single" w:color="000000" w:sz="6" w:space="0"/>
            </w:tcBorders>
            <w:vAlign w:val="center"/>
          </w:tcPr>
          <w:p>
            <w:pPr>
              <w:pStyle w:val="9"/>
              <w:spacing w:before="8"/>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7" w:hRule="atLeast"/>
        </w:trPr>
        <w:tc>
          <w:tcPr>
            <w:tcW w:w="1266" w:type="dxa"/>
            <w:tcBorders>
              <w:top w:val="single" w:color="000000" w:sz="4" w:space="0"/>
              <w:bottom w:val="single" w:color="000000" w:sz="4" w:space="0"/>
              <w:right w:val="single" w:color="000000" w:sz="4" w:space="0"/>
            </w:tcBorders>
            <w:vAlign w:val="center"/>
          </w:tcPr>
          <w:p>
            <w:pPr>
              <w:pStyle w:val="9"/>
              <w:spacing w:before="8"/>
              <w:jc w:val="center"/>
              <w:rPr>
                <w:rFonts w:hint="eastAsia" w:ascii="宋体" w:hAnsi="宋体" w:eastAsia="宋体" w:cs="宋体"/>
                <w:bCs/>
                <w:color w:val="000000" w:themeColor="text1"/>
                <w:sz w:val="24"/>
                <w:lang w:val="en-US"/>
                <w14:textFill>
                  <w14:solidFill>
                    <w14:schemeClr w14:val="tx1"/>
                  </w14:solidFill>
                </w14:textFill>
              </w:rPr>
            </w:pPr>
            <w:r>
              <w:rPr>
                <w:rFonts w:hint="eastAsia" w:ascii="宋体" w:hAnsi="宋体" w:eastAsia="宋体" w:cs="宋体"/>
                <w:bCs/>
                <w:color w:val="000000" w:themeColor="text1"/>
                <w:sz w:val="24"/>
                <w:lang w:val="en-US"/>
                <w14:textFill>
                  <w14:solidFill>
                    <w14:schemeClr w14:val="tx1"/>
                  </w14:solidFill>
                </w14:textFill>
              </w:rPr>
              <w:t>8</w:t>
            </w:r>
          </w:p>
        </w:tc>
        <w:tc>
          <w:tcPr>
            <w:tcW w:w="4058" w:type="dxa"/>
            <w:gridSpan w:val="2"/>
            <w:tcBorders>
              <w:top w:val="single" w:color="000000" w:sz="4" w:space="0"/>
              <w:left w:val="single" w:color="000000" w:sz="4" w:space="0"/>
              <w:bottom w:val="single" w:color="000000" w:sz="4" w:space="0"/>
              <w:right w:val="single" w:color="000000" w:sz="6" w:space="0"/>
            </w:tcBorders>
            <w:vAlign w:val="center"/>
          </w:tcPr>
          <w:p>
            <w:pPr>
              <w:pStyle w:val="9"/>
              <w:spacing w:before="8"/>
              <w:rPr>
                <w:rFonts w:hint="eastAsia" w:ascii="宋体" w:hAnsi="宋体" w:eastAsia="宋体" w:cs="宋体"/>
                <w:bCs/>
                <w:color w:val="000000" w:themeColor="text1"/>
                <w:sz w:val="24"/>
                <w:lang w:val="en-US"/>
                <w14:textFill>
                  <w14:solidFill>
                    <w14:schemeClr w14:val="tx1"/>
                  </w14:solidFill>
                </w14:textFill>
              </w:rPr>
            </w:pPr>
            <w:r>
              <w:rPr>
                <w:rFonts w:hint="eastAsia" w:ascii="宋体" w:hAnsi="宋体" w:eastAsia="宋体" w:cs="宋体"/>
                <w:sz w:val="22"/>
              </w:rPr>
              <w:t>档案管理工作站/设备耗材管理工作站</w:t>
            </w:r>
          </w:p>
        </w:tc>
        <w:tc>
          <w:tcPr>
            <w:tcW w:w="1704" w:type="dxa"/>
            <w:tcBorders>
              <w:top w:val="single" w:color="000000" w:sz="6" w:space="0"/>
              <w:left w:val="single" w:color="000000" w:sz="4" w:space="0"/>
              <w:bottom w:val="single" w:color="000000" w:sz="4" w:space="0"/>
              <w:right w:val="single" w:color="000000" w:sz="6" w:space="0"/>
            </w:tcBorders>
            <w:vAlign w:val="center"/>
          </w:tcPr>
          <w:p>
            <w:pPr>
              <w:pStyle w:val="9"/>
              <w:jc w:val="center"/>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sz w:val="22"/>
              </w:rPr>
              <w:t>1</w:t>
            </w:r>
          </w:p>
        </w:tc>
        <w:tc>
          <w:tcPr>
            <w:tcW w:w="1279" w:type="dxa"/>
            <w:tcBorders>
              <w:top w:val="single" w:color="000000" w:sz="6" w:space="0"/>
              <w:left w:val="single" w:color="000000" w:sz="6" w:space="0"/>
              <w:bottom w:val="single" w:color="000000" w:sz="4" w:space="0"/>
              <w:right w:val="single" w:color="000000" w:sz="6" w:space="0"/>
            </w:tcBorders>
            <w:vAlign w:val="center"/>
          </w:tcPr>
          <w:p>
            <w:pPr>
              <w:pStyle w:val="9"/>
              <w:spacing w:before="8"/>
              <w:jc w:val="center"/>
              <w:rPr>
                <w:rFonts w:hint="eastAsia" w:ascii="宋体" w:hAnsi="宋体" w:eastAsia="宋体" w:cs="宋体"/>
                <w:bCs/>
                <w:color w:val="000000" w:themeColor="text1"/>
                <w:sz w:val="24"/>
                <w:lang w:val="en-US"/>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7" w:hRule="atLeast"/>
        </w:trPr>
        <w:tc>
          <w:tcPr>
            <w:tcW w:w="1266" w:type="dxa"/>
            <w:tcBorders>
              <w:top w:val="single" w:color="000000" w:sz="4" w:space="0"/>
              <w:bottom w:val="single" w:color="000000" w:sz="4" w:space="0"/>
              <w:right w:val="single" w:color="000000" w:sz="4" w:space="0"/>
            </w:tcBorders>
            <w:vAlign w:val="center"/>
          </w:tcPr>
          <w:p>
            <w:pPr>
              <w:pStyle w:val="9"/>
              <w:spacing w:before="8"/>
              <w:jc w:val="center"/>
              <w:rPr>
                <w:rFonts w:hint="eastAsia" w:ascii="宋体" w:hAnsi="宋体" w:eastAsia="宋体" w:cs="宋体"/>
                <w:bCs/>
                <w:color w:val="000000" w:themeColor="text1"/>
                <w:sz w:val="24"/>
                <w:lang w:val="en-US"/>
                <w14:textFill>
                  <w14:solidFill>
                    <w14:schemeClr w14:val="tx1"/>
                  </w14:solidFill>
                </w14:textFill>
              </w:rPr>
            </w:pPr>
            <w:r>
              <w:rPr>
                <w:rFonts w:hint="eastAsia" w:ascii="宋体" w:hAnsi="宋体" w:eastAsia="宋体" w:cs="宋体"/>
                <w:bCs/>
                <w:color w:val="000000" w:themeColor="text1"/>
                <w:sz w:val="24"/>
                <w:lang w:val="en-US"/>
                <w14:textFill>
                  <w14:solidFill>
                    <w14:schemeClr w14:val="tx1"/>
                  </w14:solidFill>
                </w14:textFill>
              </w:rPr>
              <w:t>9</w:t>
            </w:r>
          </w:p>
        </w:tc>
        <w:tc>
          <w:tcPr>
            <w:tcW w:w="4058" w:type="dxa"/>
            <w:gridSpan w:val="2"/>
            <w:tcBorders>
              <w:top w:val="single" w:color="000000" w:sz="4" w:space="0"/>
              <w:left w:val="single" w:color="000000" w:sz="4" w:space="0"/>
              <w:bottom w:val="single" w:color="000000" w:sz="4" w:space="0"/>
              <w:right w:val="single" w:color="000000" w:sz="6" w:space="0"/>
            </w:tcBorders>
            <w:vAlign w:val="center"/>
          </w:tcPr>
          <w:p>
            <w:pPr>
              <w:pStyle w:val="9"/>
              <w:spacing w:before="8"/>
              <w:rPr>
                <w:rFonts w:hint="eastAsia" w:ascii="宋体" w:hAnsi="宋体" w:eastAsia="宋体" w:cs="宋体"/>
                <w:sz w:val="22"/>
              </w:rPr>
            </w:pPr>
            <w:r>
              <w:rPr>
                <w:rFonts w:hint="eastAsia" w:ascii="宋体" w:hAnsi="宋体" w:eastAsia="宋体" w:cs="宋体"/>
                <w:sz w:val="22"/>
              </w:rPr>
              <w:t>远程会诊云平台</w:t>
            </w:r>
          </w:p>
        </w:tc>
        <w:tc>
          <w:tcPr>
            <w:tcW w:w="1704" w:type="dxa"/>
            <w:tcBorders>
              <w:top w:val="single" w:color="000000" w:sz="6" w:space="0"/>
              <w:left w:val="single" w:color="000000" w:sz="4" w:space="0"/>
              <w:bottom w:val="single" w:color="000000" w:sz="4" w:space="0"/>
              <w:right w:val="single" w:color="000000" w:sz="6" w:space="0"/>
            </w:tcBorders>
            <w:vAlign w:val="center"/>
          </w:tcPr>
          <w:p>
            <w:pPr>
              <w:pStyle w:val="9"/>
              <w:jc w:val="center"/>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sz w:val="22"/>
              </w:rPr>
              <w:t>1</w:t>
            </w:r>
          </w:p>
        </w:tc>
        <w:tc>
          <w:tcPr>
            <w:tcW w:w="1279" w:type="dxa"/>
            <w:tcBorders>
              <w:top w:val="single" w:color="000000" w:sz="6" w:space="0"/>
              <w:left w:val="single" w:color="000000" w:sz="6" w:space="0"/>
              <w:bottom w:val="single" w:color="000000" w:sz="4" w:space="0"/>
              <w:right w:val="single" w:color="000000" w:sz="6" w:space="0"/>
            </w:tcBorders>
            <w:vAlign w:val="center"/>
          </w:tcPr>
          <w:p>
            <w:pPr>
              <w:pStyle w:val="9"/>
              <w:spacing w:before="8"/>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7" w:hRule="atLeast"/>
        </w:trPr>
        <w:tc>
          <w:tcPr>
            <w:tcW w:w="1266" w:type="dxa"/>
            <w:tcBorders>
              <w:top w:val="single" w:color="000000" w:sz="4" w:space="0"/>
              <w:bottom w:val="single" w:color="000000" w:sz="4" w:space="0"/>
              <w:right w:val="single" w:color="000000" w:sz="4" w:space="0"/>
            </w:tcBorders>
            <w:vAlign w:val="center"/>
          </w:tcPr>
          <w:p>
            <w:pPr>
              <w:pStyle w:val="9"/>
              <w:spacing w:before="8"/>
              <w:jc w:val="center"/>
              <w:rPr>
                <w:rFonts w:hint="eastAsia" w:ascii="宋体" w:hAnsi="宋体" w:eastAsia="宋体" w:cs="宋体"/>
                <w:bCs/>
                <w:color w:val="000000" w:themeColor="text1"/>
                <w:sz w:val="24"/>
                <w:lang w:val="en-US"/>
                <w14:textFill>
                  <w14:solidFill>
                    <w14:schemeClr w14:val="tx1"/>
                  </w14:solidFill>
                </w14:textFill>
              </w:rPr>
            </w:pPr>
            <w:r>
              <w:rPr>
                <w:rFonts w:hint="eastAsia" w:ascii="宋体" w:hAnsi="宋体" w:eastAsia="宋体" w:cs="宋体"/>
                <w:bCs/>
                <w:color w:val="000000" w:themeColor="text1"/>
                <w:sz w:val="24"/>
                <w:lang w:val="en-US"/>
                <w14:textFill>
                  <w14:solidFill>
                    <w14:schemeClr w14:val="tx1"/>
                  </w14:solidFill>
                </w14:textFill>
              </w:rPr>
              <w:t>10</w:t>
            </w:r>
          </w:p>
        </w:tc>
        <w:tc>
          <w:tcPr>
            <w:tcW w:w="4058" w:type="dxa"/>
            <w:gridSpan w:val="2"/>
            <w:tcBorders>
              <w:top w:val="single" w:color="000000" w:sz="4" w:space="0"/>
              <w:left w:val="single" w:color="000000" w:sz="4" w:space="0"/>
              <w:bottom w:val="single" w:color="000000" w:sz="4" w:space="0"/>
              <w:right w:val="single" w:color="000000" w:sz="6" w:space="0"/>
            </w:tcBorders>
            <w:vAlign w:val="center"/>
          </w:tcPr>
          <w:p>
            <w:pPr>
              <w:pStyle w:val="9"/>
              <w:spacing w:before="8"/>
              <w:rPr>
                <w:rFonts w:hint="eastAsia" w:ascii="宋体" w:hAnsi="宋体" w:eastAsia="宋体" w:cs="宋体"/>
                <w:sz w:val="22"/>
              </w:rPr>
            </w:pPr>
            <w:r>
              <w:rPr>
                <w:rFonts w:hint="eastAsia" w:ascii="宋体" w:hAnsi="宋体" w:eastAsia="宋体" w:cs="宋体"/>
                <w:sz w:val="22"/>
              </w:rPr>
              <w:t>包埋盒打号机接口模块</w:t>
            </w:r>
          </w:p>
        </w:tc>
        <w:tc>
          <w:tcPr>
            <w:tcW w:w="1704" w:type="dxa"/>
            <w:tcBorders>
              <w:top w:val="single" w:color="000000" w:sz="6" w:space="0"/>
              <w:left w:val="single" w:color="000000" w:sz="4" w:space="0"/>
              <w:bottom w:val="single" w:color="000000" w:sz="4" w:space="0"/>
              <w:right w:val="single" w:color="000000" w:sz="6" w:space="0"/>
            </w:tcBorders>
            <w:vAlign w:val="center"/>
          </w:tcPr>
          <w:p>
            <w:pPr>
              <w:pStyle w:val="9"/>
              <w:jc w:val="center"/>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sz w:val="22"/>
              </w:rPr>
              <w:t>1</w:t>
            </w:r>
          </w:p>
        </w:tc>
        <w:tc>
          <w:tcPr>
            <w:tcW w:w="1279" w:type="dxa"/>
            <w:tcBorders>
              <w:top w:val="single" w:color="000000" w:sz="6" w:space="0"/>
              <w:left w:val="single" w:color="000000" w:sz="6" w:space="0"/>
              <w:bottom w:val="single" w:color="000000" w:sz="4" w:space="0"/>
              <w:right w:val="single" w:color="000000" w:sz="6" w:space="0"/>
            </w:tcBorders>
            <w:vAlign w:val="center"/>
          </w:tcPr>
          <w:p>
            <w:pPr>
              <w:pStyle w:val="9"/>
              <w:spacing w:before="8"/>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7" w:hRule="atLeast"/>
        </w:trPr>
        <w:tc>
          <w:tcPr>
            <w:tcW w:w="1266" w:type="dxa"/>
            <w:tcBorders>
              <w:top w:val="single" w:color="000000" w:sz="4" w:space="0"/>
              <w:bottom w:val="single" w:color="000000" w:sz="4" w:space="0"/>
              <w:right w:val="single" w:color="000000" w:sz="4" w:space="0"/>
            </w:tcBorders>
            <w:vAlign w:val="center"/>
          </w:tcPr>
          <w:p>
            <w:pPr>
              <w:pStyle w:val="9"/>
              <w:spacing w:before="8"/>
              <w:jc w:val="center"/>
              <w:rPr>
                <w:rFonts w:hint="eastAsia" w:ascii="宋体" w:hAnsi="宋体" w:eastAsia="宋体" w:cs="宋体"/>
                <w:bCs/>
                <w:color w:val="000000" w:themeColor="text1"/>
                <w:sz w:val="24"/>
                <w:lang w:val="en-US"/>
                <w14:textFill>
                  <w14:solidFill>
                    <w14:schemeClr w14:val="tx1"/>
                  </w14:solidFill>
                </w14:textFill>
              </w:rPr>
            </w:pPr>
            <w:r>
              <w:rPr>
                <w:rFonts w:hint="eastAsia" w:ascii="宋体" w:hAnsi="宋体" w:eastAsia="宋体" w:cs="宋体"/>
                <w:bCs/>
                <w:color w:val="000000" w:themeColor="text1"/>
                <w:sz w:val="24"/>
                <w:lang w:val="en-US"/>
                <w14:textFill>
                  <w14:solidFill>
                    <w14:schemeClr w14:val="tx1"/>
                  </w14:solidFill>
                </w14:textFill>
              </w:rPr>
              <w:t>11</w:t>
            </w:r>
          </w:p>
        </w:tc>
        <w:tc>
          <w:tcPr>
            <w:tcW w:w="4058" w:type="dxa"/>
            <w:gridSpan w:val="2"/>
            <w:tcBorders>
              <w:top w:val="single" w:color="000000" w:sz="4" w:space="0"/>
              <w:left w:val="single" w:color="000000" w:sz="4" w:space="0"/>
              <w:bottom w:val="single" w:color="000000" w:sz="4" w:space="0"/>
              <w:right w:val="single" w:color="000000" w:sz="6" w:space="0"/>
            </w:tcBorders>
            <w:vAlign w:val="center"/>
          </w:tcPr>
          <w:p>
            <w:pPr>
              <w:pStyle w:val="9"/>
              <w:spacing w:before="8"/>
              <w:rPr>
                <w:rFonts w:hint="eastAsia" w:ascii="宋体" w:hAnsi="宋体" w:eastAsia="宋体" w:cs="宋体"/>
                <w:sz w:val="22"/>
              </w:rPr>
            </w:pPr>
            <w:r>
              <w:rPr>
                <w:rFonts w:hint="eastAsia" w:ascii="宋体" w:hAnsi="宋体" w:eastAsia="宋体" w:cs="宋体"/>
                <w:sz w:val="22"/>
              </w:rPr>
              <w:t>显微镜摄像头接口</w:t>
            </w:r>
          </w:p>
        </w:tc>
        <w:tc>
          <w:tcPr>
            <w:tcW w:w="1704" w:type="dxa"/>
            <w:tcBorders>
              <w:top w:val="single" w:color="000000" w:sz="6" w:space="0"/>
              <w:left w:val="single" w:color="000000" w:sz="4" w:space="0"/>
              <w:bottom w:val="single" w:color="000000" w:sz="4" w:space="0"/>
              <w:right w:val="single" w:color="000000" w:sz="6" w:space="0"/>
            </w:tcBorders>
            <w:vAlign w:val="center"/>
          </w:tcPr>
          <w:p>
            <w:pPr>
              <w:pStyle w:val="9"/>
              <w:jc w:val="center"/>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sz w:val="22"/>
              </w:rPr>
              <w:t>1</w:t>
            </w:r>
          </w:p>
        </w:tc>
        <w:tc>
          <w:tcPr>
            <w:tcW w:w="1279" w:type="dxa"/>
            <w:tcBorders>
              <w:top w:val="single" w:color="000000" w:sz="6" w:space="0"/>
              <w:left w:val="single" w:color="000000" w:sz="6" w:space="0"/>
              <w:bottom w:val="single" w:color="000000" w:sz="4" w:space="0"/>
              <w:right w:val="single" w:color="000000" w:sz="6" w:space="0"/>
            </w:tcBorders>
            <w:vAlign w:val="center"/>
          </w:tcPr>
          <w:p>
            <w:pPr>
              <w:pStyle w:val="9"/>
              <w:spacing w:before="8"/>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7" w:hRule="atLeast"/>
        </w:trPr>
        <w:tc>
          <w:tcPr>
            <w:tcW w:w="1266" w:type="dxa"/>
            <w:tcBorders>
              <w:top w:val="single" w:color="000000" w:sz="4" w:space="0"/>
              <w:bottom w:val="single" w:color="000000" w:sz="4" w:space="0"/>
              <w:right w:val="single" w:color="000000" w:sz="4" w:space="0"/>
            </w:tcBorders>
            <w:vAlign w:val="center"/>
          </w:tcPr>
          <w:p>
            <w:pPr>
              <w:pStyle w:val="9"/>
              <w:spacing w:before="8"/>
              <w:jc w:val="center"/>
              <w:rPr>
                <w:rFonts w:hint="eastAsia" w:ascii="宋体" w:hAnsi="宋体" w:eastAsia="宋体" w:cs="宋体"/>
                <w:bCs/>
                <w:color w:val="000000" w:themeColor="text1"/>
                <w:sz w:val="24"/>
                <w:lang w:val="en-US"/>
                <w14:textFill>
                  <w14:solidFill>
                    <w14:schemeClr w14:val="tx1"/>
                  </w14:solidFill>
                </w14:textFill>
              </w:rPr>
            </w:pPr>
            <w:r>
              <w:rPr>
                <w:rFonts w:hint="eastAsia" w:ascii="宋体" w:hAnsi="宋体" w:eastAsia="宋体" w:cs="宋体"/>
                <w:bCs/>
                <w:color w:val="000000" w:themeColor="text1"/>
                <w:sz w:val="24"/>
                <w:lang w:val="en-US"/>
                <w14:textFill>
                  <w14:solidFill>
                    <w14:schemeClr w14:val="tx1"/>
                  </w14:solidFill>
                </w14:textFill>
              </w:rPr>
              <w:t>12</w:t>
            </w:r>
          </w:p>
        </w:tc>
        <w:tc>
          <w:tcPr>
            <w:tcW w:w="4058" w:type="dxa"/>
            <w:gridSpan w:val="2"/>
            <w:tcBorders>
              <w:top w:val="single" w:color="000000" w:sz="4" w:space="0"/>
              <w:left w:val="single" w:color="000000" w:sz="4" w:space="0"/>
              <w:bottom w:val="single" w:color="000000" w:sz="4" w:space="0"/>
              <w:right w:val="single" w:color="000000" w:sz="6" w:space="0"/>
            </w:tcBorders>
            <w:vAlign w:val="center"/>
          </w:tcPr>
          <w:p>
            <w:pPr>
              <w:pStyle w:val="9"/>
              <w:spacing w:before="8"/>
              <w:rPr>
                <w:rFonts w:hint="eastAsia" w:ascii="宋体" w:hAnsi="宋体" w:eastAsia="宋体" w:cs="宋体"/>
                <w:sz w:val="22"/>
              </w:rPr>
            </w:pPr>
            <w:r>
              <w:rPr>
                <w:rFonts w:hint="eastAsia" w:ascii="宋体" w:hAnsi="宋体" w:eastAsia="宋体" w:cs="宋体"/>
                <w:sz w:val="22"/>
              </w:rPr>
              <w:t>全自动免疫组化染色仪接口</w:t>
            </w:r>
          </w:p>
        </w:tc>
        <w:tc>
          <w:tcPr>
            <w:tcW w:w="1704" w:type="dxa"/>
            <w:tcBorders>
              <w:top w:val="single" w:color="000000" w:sz="6" w:space="0"/>
              <w:left w:val="single" w:color="000000" w:sz="4" w:space="0"/>
              <w:bottom w:val="single" w:color="000000" w:sz="4" w:space="0"/>
              <w:right w:val="single" w:color="000000" w:sz="6" w:space="0"/>
            </w:tcBorders>
            <w:vAlign w:val="center"/>
          </w:tcPr>
          <w:p>
            <w:pPr>
              <w:pStyle w:val="9"/>
              <w:jc w:val="center"/>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bCs/>
                <w:color w:val="000000" w:themeColor="text1"/>
                <w:sz w:val="22"/>
                <w:lang w:val="en-US"/>
                <w14:textFill>
                  <w14:solidFill>
                    <w14:schemeClr w14:val="tx1"/>
                  </w14:solidFill>
                </w14:textFill>
              </w:rPr>
              <w:t>1</w:t>
            </w:r>
          </w:p>
        </w:tc>
        <w:tc>
          <w:tcPr>
            <w:tcW w:w="1279" w:type="dxa"/>
            <w:tcBorders>
              <w:top w:val="single" w:color="000000" w:sz="6" w:space="0"/>
              <w:left w:val="single" w:color="000000" w:sz="6" w:space="0"/>
              <w:bottom w:val="single" w:color="000000" w:sz="4" w:space="0"/>
              <w:right w:val="single" w:color="000000" w:sz="6" w:space="0"/>
            </w:tcBorders>
            <w:vAlign w:val="center"/>
          </w:tcPr>
          <w:p>
            <w:pPr>
              <w:pStyle w:val="9"/>
              <w:spacing w:before="8"/>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7" w:hRule="atLeast"/>
        </w:trPr>
        <w:tc>
          <w:tcPr>
            <w:tcW w:w="1266" w:type="dxa"/>
            <w:tcBorders>
              <w:top w:val="single" w:color="000000" w:sz="4" w:space="0"/>
              <w:bottom w:val="single" w:color="000000" w:sz="4" w:space="0"/>
              <w:right w:val="single" w:color="000000" w:sz="4" w:space="0"/>
            </w:tcBorders>
            <w:vAlign w:val="center"/>
          </w:tcPr>
          <w:p>
            <w:pPr>
              <w:pStyle w:val="9"/>
              <w:spacing w:before="8"/>
              <w:jc w:val="center"/>
              <w:rPr>
                <w:rFonts w:hint="eastAsia" w:ascii="宋体" w:hAnsi="宋体" w:eastAsia="宋体" w:cs="宋体"/>
                <w:bCs/>
                <w:color w:val="000000" w:themeColor="text1"/>
                <w:sz w:val="24"/>
                <w:lang w:val="en-US"/>
                <w14:textFill>
                  <w14:solidFill>
                    <w14:schemeClr w14:val="tx1"/>
                  </w14:solidFill>
                </w14:textFill>
              </w:rPr>
            </w:pPr>
            <w:r>
              <w:rPr>
                <w:rFonts w:hint="eastAsia" w:ascii="宋体" w:hAnsi="宋体" w:eastAsia="宋体" w:cs="宋体"/>
                <w:bCs/>
                <w:color w:val="000000" w:themeColor="text1"/>
                <w:sz w:val="24"/>
                <w:lang w:val="en-US"/>
                <w14:textFill>
                  <w14:solidFill>
                    <w14:schemeClr w14:val="tx1"/>
                  </w14:solidFill>
                </w14:textFill>
              </w:rPr>
              <w:t>13</w:t>
            </w:r>
          </w:p>
        </w:tc>
        <w:tc>
          <w:tcPr>
            <w:tcW w:w="4058" w:type="dxa"/>
            <w:gridSpan w:val="2"/>
            <w:tcBorders>
              <w:top w:val="single" w:color="000000" w:sz="4" w:space="0"/>
              <w:left w:val="single" w:color="000000" w:sz="4" w:space="0"/>
              <w:bottom w:val="single" w:color="000000" w:sz="4" w:space="0"/>
              <w:right w:val="single" w:color="000000" w:sz="6" w:space="0"/>
            </w:tcBorders>
            <w:vAlign w:val="center"/>
          </w:tcPr>
          <w:p>
            <w:pPr>
              <w:pStyle w:val="9"/>
              <w:spacing w:before="8"/>
              <w:rPr>
                <w:rFonts w:hint="eastAsia" w:ascii="宋体" w:hAnsi="宋体" w:eastAsia="宋体" w:cs="宋体"/>
                <w:bCs/>
                <w:color w:val="000000" w:themeColor="text1"/>
                <w:sz w:val="24"/>
                <w:lang w:val="en-US"/>
                <w14:textFill>
                  <w14:solidFill>
                    <w14:schemeClr w14:val="tx1"/>
                  </w14:solidFill>
                </w14:textFill>
              </w:rPr>
            </w:pPr>
            <w:r>
              <w:rPr>
                <w:rFonts w:hint="eastAsia" w:ascii="宋体" w:hAnsi="宋体" w:eastAsia="宋体" w:cs="宋体"/>
                <w:color w:val="000000"/>
                <w:kern w:val="0"/>
                <w:sz w:val="24"/>
              </w:rPr>
              <w:t>HIS系统双向</w:t>
            </w:r>
          </w:p>
        </w:tc>
        <w:tc>
          <w:tcPr>
            <w:tcW w:w="1704" w:type="dxa"/>
            <w:tcBorders>
              <w:top w:val="single" w:color="000000" w:sz="6" w:space="0"/>
              <w:left w:val="single" w:color="000000" w:sz="4" w:space="0"/>
              <w:bottom w:val="single" w:color="000000" w:sz="4" w:space="0"/>
              <w:right w:val="single" w:color="000000" w:sz="6" w:space="0"/>
            </w:tcBorders>
            <w:vAlign w:val="center"/>
          </w:tcPr>
          <w:p>
            <w:pPr>
              <w:pStyle w:val="9"/>
              <w:jc w:val="center"/>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bCs/>
                <w:color w:val="000000" w:themeColor="text1"/>
                <w:sz w:val="22"/>
                <w:lang w:val="en-US"/>
                <w14:textFill>
                  <w14:solidFill>
                    <w14:schemeClr w14:val="tx1"/>
                  </w14:solidFill>
                </w14:textFill>
              </w:rPr>
              <w:t>1</w:t>
            </w:r>
          </w:p>
        </w:tc>
        <w:tc>
          <w:tcPr>
            <w:tcW w:w="1279" w:type="dxa"/>
            <w:tcBorders>
              <w:top w:val="single" w:color="000000" w:sz="6" w:space="0"/>
              <w:left w:val="single" w:color="000000" w:sz="6" w:space="0"/>
              <w:bottom w:val="single" w:color="000000" w:sz="4" w:space="0"/>
              <w:right w:val="single" w:color="000000" w:sz="6" w:space="0"/>
            </w:tcBorders>
            <w:vAlign w:val="center"/>
          </w:tcPr>
          <w:p>
            <w:pPr>
              <w:pStyle w:val="9"/>
              <w:spacing w:before="8"/>
              <w:jc w:val="center"/>
              <w:rPr>
                <w:rFonts w:hint="eastAsia" w:ascii="宋体" w:hAnsi="宋体" w:eastAsia="宋体" w:cs="宋体"/>
                <w:bCs/>
                <w:color w:val="000000" w:themeColor="text1"/>
                <w:sz w:val="24"/>
                <w:lang w:val="en-US"/>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7" w:hRule="atLeast"/>
        </w:trPr>
        <w:tc>
          <w:tcPr>
            <w:tcW w:w="8307" w:type="dxa"/>
            <w:gridSpan w:val="5"/>
            <w:tcBorders>
              <w:top w:val="single" w:color="000000" w:sz="4" w:space="0"/>
              <w:bottom w:val="single" w:color="000000" w:sz="4" w:space="0"/>
              <w:right w:val="single" w:color="000000" w:sz="6" w:space="0"/>
            </w:tcBorders>
            <w:vAlign w:val="center"/>
          </w:tcPr>
          <w:p>
            <w:pPr>
              <w:pStyle w:val="9"/>
              <w:spacing w:before="8"/>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专业硬件清单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7" w:hRule="atLeast"/>
        </w:trPr>
        <w:tc>
          <w:tcPr>
            <w:tcW w:w="2341" w:type="dxa"/>
            <w:gridSpan w:val="2"/>
            <w:tcBorders>
              <w:top w:val="single" w:color="000000" w:sz="4" w:space="0"/>
              <w:bottom w:val="single" w:color="000000" w:sz="4" w:space="0"/>
            </w:tcBorders>
          </w:tcPr>
          <w:p>
            <w:pPr>
              <w:pStyle w:val="9"/>
              <w:spacing w:before="8"/>
              <w:jc w:val="center"/>
              <w:rPr>
                <w:rFonts w:hint="eastAsia" w:ascii="宋体" w:hAnsi="宋体" w:eastAsia="宋体" w:cs="宋体"/>
                <w:bCs/>
                <w:color w:val="000000" w:themeColor="text1"/>
                <w:sz w:val="19"/>
                <w14:textFill>
                  <w14:solidFill>
                    <w14:schemeClr w14:val="tx1"/>
                  </w14:solidFill>
                </w14:textFill>
              </w:rPr>
            </w:pPr>
          </w:p>
          <w:p>
            <w:pPr>
              <w:pStyle w:val="9"/>
              <w:jc w:val="center"/>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序号</w:t>
            </w:r>
          </w:p>
        </w:tc>
        <w:tc>
          <w:tcPr>
            <w:tcW w:w="2983" w:type="dxa"/>
            <w:tcBorders>
              <w:top w:val="single" w:color="000000" w:sz="4" w:space="0"/>
              <w:bottom w:val="single" w:color="000000" w:sz="4" w:space="0"/>
            </w:tcBorders>
          </w:tcPr>
          <w:p>
            <w:pPr>
              <w:pStyle w:val="9"/>
              <w:spacing w:before="8"/>
              <w:jc w:val="center"/>
              <w:rPr>
                <w:rFonts w:hint="eastAsia" w:ascii="宋体" w:hAnsi="宋体" w:eastAsia="宋体" w:cs="宋体"/>
                <w:bCs/>
                <w:color w:val="000000" w:themeColor="text1"/>
                <w:sz w:val="19"/>
                <w14:textFill>
                  <w14:solidFill>
                    <w14:schemeClr w14:val="tx1"/>
                  </w14:solidFill>
                </w14:textFill>
              </w:rPr>
            </w:pPr>
          </w:p>
          <w:p>
            <w:pPr>
              <w:pStyle w:val="9"/>
              <w:jc w:val="center"/>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产品名称</w:t>
            </w:r>
          </w:p>
        </w:tc>
        <w:tc>
          <w:tcPr>
            <w:tcW w:w="1704" w:type="dxa"/>
            <w:tcBorders>
              <w:top w:val="single" w:color="000000" w:sz="4" w:space="0"/>
              <w:bottom w:val="single" w:color="000000" w:sz="4" w:space="0"/>
            </w:tcBorders>
          </w:tcPr>
          <w:p>
            <w:pPr>
              <w:pStyle w:val="9"/>
              <w:spacing w:before="8"/>
              <w:jc w:val="center"/>
              <w:rPr>
                <w:rFonts w:hint="eastAsia" w:ascii="宋体" w:hAnsi="宋体" w:eastAsia="宋体" w:cs="宋体"/>
                <w:bCs/>
                <w:color w:val="000000" w:themeColor="text1"/>
                <w:sz w:val="19"/>
                <w14:textFill>
                  <w14:solidFill>
                    <w14:schemeClr w14:val="tx1"/>
                  </w14:solidFill>
                </w14:textFill>
              </w:rPr>
            </w:pPr>
          </w:p>
          <w:p>
            <w:pPr>
              <w:pStyle w:val="9"/>
              <w:ind w:left="254"/>
              <w:jc w:val="center"/>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数量</w:t>
            </w:r>
          </w:p>
        </w:tc>
        <w:tc>
          <w:tcPr>
            <w:tcW w:w="1279" w:type="dxa"/>
            <w:tcBorders>
              <w:top w:val="single" w:color="000000" w:sz="4" w:space="0"/>
              <w:bottom w:val="single" w:color="000000" w:sz="4" w:space="0"/>
            </w:tcBorders>
          </w:tcPr>
          <w:p>
            <w:pPr>
              <w:pStyle w:val="9"/>
              <w:spacing w:before="8"/>
              <w:jc w:val="center"/>
              <w:rPr>
                <w:rFonts w:hint="eastAsia" w:ascii="宋体" w:hAnsi="宋体" w:eastAsia="宋体" w:cs="宋体"/>
                <w:bCs/>
                <w:color w:val="000000" w:themeColor="text1"/>
                <w:sz w:val="19"/>
                <w14:textFill>
                  <w14:solidFill>
                    <w14:schemeClr w14:val="tx1"/>
                  </w14:solidFill>
                </w14:textFill>
              </w:rPr>
            </w:pPr>
          </w:p>
          <w:p>
            <w:pPr>
              <w:pStyle w:val="9"/>
              <w:ind w:left="109"/>
              <w:jc w:val="center"/>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7" w:hRule="atLeast"/>
        </w:trPr>
        <w:tc>
          <w:tcPr>
            <w:tcW w:w="2341" w:type="dxa"/>
            <w:gridSpan w:val="2"/>
            <w:tcBorders>
              <w:top w:val="single" w:color="000000" w:sz="4" w:space="0"/>
              <w:bottom w:val="single" w:color="000000" w:sz="4" w:space="0"/>
            </w:tcBorders>
            <w:vAlign w:val="center"/>
          </w:tcPr>
          <w:p>
            <w:pPr>
              <w:pStyle w:val="9"/>
              <w:jc w:val="center"/>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bCs/>
                <w:color w:val="000000" w:themeColor="text1"/>
                <w:sz w:val="22"/>
                <w:lang w:val="en-US"/>
                <w14:textFill>
                  <w14:solidFill>
                    <w14:schemeClr w14:val="tx1"/>
                  </w14:solidFill>
                </w14:textFill>
              </w:rPr>
              <w:t>1</w:t>
            </w:r>
          </w:p>
        </w:tc>
        <w:tc>
          <w:tcPr>
            <w:tcW w:w="2983" w:type="dxa"/>
            <w:tcBorders>
              <w:top w:val="single" w:color="000000" w:sz="4" w:space="0"/>
              <w:bottom w:val="single" w:color="000000" w:sz="4" w:space="0"/>
            </w:tcBorders>
            <w:vAlign w:val="center"/>
          </w:tcPr>
          <w:p>
            <w:pPr>
              <w:pStyle w:val="9"/>
              <w:jc w:val="left"/>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sz w:val="22"/>
              </w:rPr>
              <w:t>大体标本摄像系统</w:t>
            </w:r>
          </w:p>
        </w:tc>
        <w:tc>
          <w:tcPr>
            <w:tcW w:w="1704" w:type="dxa"/>
            <w:tcBorders>
              <w:top w:val="single" w:color="000000" w:sz="4" w:space="0"/>
              <w:bottom w:val="single" w:color="000000" w:sz="4" w:space="0"/>
            </w:tcBorders>
            <w:vAlign w:val="center"/>
          </w:tcPr>
          <w:p>
            <w:pPr>
              <w:pStyle w:val="9"/>
              <w:jc w:val="center"/>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sz w:val="22"/>
              </w:rPr>
              <w:t>1</w:t>
            </w:r>
          </w:p>
        </w:tc>
        <w:tc>
          <w:tcPr>
            <w:tcW w:w="1279" w:type="dxa"/>
            <w:tcBorders>
              <w:top w:val="single" w:color="000000" w:sz="4" w:space="0"/>
              <w:bottom w:val="single" w:color="000000" w:sz="4" w:space="0"/>
            </w:tcBorders>
            <w:vAlign w:val="center"/>
          </w:tcPr>
          <w:p>
            <w:pPr>
              <w:pStyle w:val="9"/>
              <w:jc w:val="center"/>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bCs/>
                <w:color w:val="000000" w:themeColor="text1"/>
                <w:sz w:val="22"/>
                <w:lang w:val="en-US"/>
                <w14:textFill>
                  <w14:solidFill>
                    <w14:schemeClr w14:val="tx1"/>
                  </w14:solidFill>
                </w14:textFill>
              </w:rPr>
              <w:t>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7" w:hRule="atLeast"/>
        </w:trPr>
        <w:tc>
          <w:tcPr>
            <w:tcW w:w="2341" w:type="dxa"/>
            <w:gridSpan w:val="2"/>
            <w:tcBorders>
              <w:top w:val="single" w:color="000000" w:sz="4" w:space="0"/>
              <w:bottom w:val="single" w:color="000000" w:sz="4" w:space="0"/>
            </w:tcBorders>
            <w:vAlign w:val="center"/>
          </w:tcPr>
          <w:p>
            <w:pPr>
              <w:pStyle w:val="9"/>
              <w:jc w:val="center"/>
              <w:rPr>
                <w:rFonts w:hint="eastAsia" w:ascii="宋体" w:hAnsi="宋体" w:eastAsia="宋体" w:cs="宋体"/>
                <w:sz w:val="28"/>
                <w:szCs w:val="28"/>
              </w:rPr>
            </w:pPr>
            <w:r>
              <w:rPr>
                <w:rFonts w:hint="eastAsia" w:ascii="宋体" w:hAnsi="宋体" w:eastAsia="宋体" w:cs="宋体"/>
                <w:bCs/>
                <w:color w:val="000000" w:themeColor="text1"/>
                <w:sz w:val="22"/>
                <w:lang w:val="en-US"/>
                <w14:textFill>
                  <w14:solidFill>
                    <w14:schemeClr w14:val="tx1"/>
                  </w14:solidFill>
                </w14:textFill>
              </w:rPr>
              <w:t>2</w:t>
            </w:r>
          </w:p>
        </w:tc>
        <w:tc>
          <w:tcPr>
            <w:tcW w:w="2983" w:type="dxa"/>
            <w:tcBorders>
              <w:top w:val="single" w:color="000000" w:sz="4" w:space="0"/>
              <w:bottom w:val="single" w:color="000000" w:sz="4" w:space="0"/>
            </w:tcBorders>
            <w:vAlign w:val="center"/>
          </w:tcPr>
          <w:p>
            <w:pPr>
              <w:pStyle w:val="9"/>
              <w:jc w:val="left"/>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sz w:val="22"/>
              </w:rPr>
              <w:t>包埋盒打号机</w:t>
            </w:r>
          </w:p>
        </w:tc>
        <w:tc>
          <w:tcPr>
            <w:tcW w:w="1704" w:type="dxa"/>
            <w:tcBorders>
              <w:top w:val="single" w:color="000000" w:sz="4" w:space="0"/>
              <w:bottom w:val="single" w:color="000000" w:sz="4" w:space="0"/>
            </w:tcBorders>
            <w:vAlign w:val="center"/>
          </w:tcPr>
          <w:p>
            <w:pPr>
              <w:pStyle w:val="9"/>
              <w:jc w:val="center"/>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sz w:val="22"/>
              </w:rPr>
              <w:t>1</w:t>
            </w:r>
          </w:p>
        </w:tc>
        <w:tc>
          <w:tcPr>
            <w:tcW w:w="1279" w:type="dxa"/>
            <w:tcBorders>
              <w:top w:val="single" w:color="000000" w:sz="4" w:space="0"/>
              <w:bottom w:val="single" w:color="000000" w:sz="4" w:space="0"/>
            </w:tcBorders>
            <w:vAlign w:val="center"/>
          </w:tcPr>
          <w:p>
            <w:pPr>
              <w:pStyle w:val="9"/>
              <w:jc w:val="center"/>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bCs/>
                <w:color w:val="000000" w:themeColor="text1"/>
                <w:sz w:val="22"/>
                <w:lang w:val="en-US"/>
                <w14:textFill>
                  <w14:solidFill>
                    <w14:schemeClr w14:val="tx1"/>
                  </w14:solidFill>
                </w14:textFill>
              </w:rPr>
              <w:t>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7" w:hRule="atLeast"/>
        </w:trPr>
        <w:tc>
          <w:tcPr>
            <w:tcW w:w="2341" w:type="dxa"/>
            <w:gridSpan w:val="2"/>
            <w:tcBorders>
              <w:top w:val="single" w:color="000000" w:sz="4" w:space="0"/>
              <w:bottom w:val="single" w:color="000000" w:sz="4" w:space="0"/>
            </w:tcBorders>
            <w:vAlign w:val="center"/>
          </w:tcPr>
          <w:p>
            <w:pPr>
              <w:pStyle w:val="9"/>
              <w:jc w:val="center"/>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bCs/>
                <w:color w:val="000000" w:themeColor="text1"/>
                <w:sz w:val="22"/>
                <w:lang w:val="en-US"/>
                <w14:textFill>
                  <w14:solidFill>
                    <w14:schemeClr w14:val="tx1"/>
                  </w14:solidFill>
                </w14:textFill>
              </w:rPr>
              <w:t>3</w:t>
            </w:r>
          </w:p>
        </w:tc>
        <w:tc>
          <w:tcPr>
            <w:tcW w:w="2983" w:type="dxa"/>
            <w:tcBorders>
              <w:top w:val="single" w:color="000000" w:sz="4" w:space="0"/>
              <w:bottom w:val="single" w:color="000000" w:sz="4" w:space="0"/>
            </w:tcBorders>
            <w:vAlign w:val="center"/>
          </w:tcPr>
          <w:p>
            <w:pPr>
              <w:pStyle w:val="9"/>
              <w:jc w:val="left"/>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sz w:val="22"/>
              </w:rPr>
              <w:t>显微镜数码摄像头</w:t>
            </w:r>
          </w:p>
        </w:tc>
        <w:tc>
          <w:tcPr>
            <w:tcW w:w="1704" w:type="dxa"/>
            <w:tcBorders>
              <w:top w:val="single" w:color="000000" w:sz="4" w:space="0"/>
              <w:bottom w:val="single" w:color="000000" w:sz="4" w:space="0"/>
            </w:tcBorders>
            <w:vAlign w:val="center"/>
          </w:tcPr>
          <w:p>
            <w:pPr>
              <w:pStyle w:val="9"/>
              <w:jc w:val="center"/>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sz w:val="22"/>
              </w:rPr>
              <w:t>3</w:t>
            </w:r>
          </w:p>
        </w:tc>
        <w:tc>
          <w:tcPr>
            <w:tcW w:w="1279" w:type="dxa"/>
            <w:tcBorders>
              <w:top w:val="single" w:color="000000" w:sz="4" w:space="0"/>
              <w:bottom w:val="single" w:color="000000" w:sz="4" w:space="0"/>
            </w:tcBorders>
            <w:vAlign w:val="center"/>
          </w:tcPr>
          <w:p>
            <w:pPr>
              <w:pStyle w:val="9"/>
              <w:jc w:val="center"/>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bCs/>
                <w:color w:val="000000" w:themeColor="text1"/>
                <w:sz w:val="22"/>
                <w:lang w:val="en-US"/>
                <w14:textFill>
                  <w14:solidFill>
                    <w14:schemeClr w14:val="tx1"/>
                  </w14:solidFill>
                </w14:textFill>
              </w:rPr>
              <w:t>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7" w:hRule="atLeast"/>
        </w:trPr>
        <w:tc>
          <w:tcPr>
            <w:tcW w:w="2341" w:type="dxa"/>
            <w:gridSpan w:val="2"/>
            <w:tcBorders>
              <w:top w:val="single" w:color="000000" w:sz="4" w:space="0"/>
              <w:bottom w:val="single" w:color="000000" w:sz="4" w:space="0"/>
            </w:tcBorders>
            <w:vAlign w:val="center"/>
          </w:tcPr>
          <w:p>
            <w:pPr>
              <w:pStyle w:val="9"/>
              <w:jc w:val="center"/>
              <w:rPr>
                <w:rFonts w:hint="eastAsia" w:ascii="宋体" w:hAnsi="宋体" w:eastAsia="宋体" w:cs="宋体"/>
                <w:bCs/>
                <w:color w:val="000000" w:themeColor="text1"/>
                <w:sz w:val="22"/>
                <w:lang w:val="en-US" w:eastAsia="zh-CN"/>
                <w14:textFill>
                  <w14:solidFill>
                    <w14:schemeClr w14:val="tx1"/>
                  </w14:solidFill>
                </w14:textFill>
              </w:rPr>
            </w:pPr>
            <w:r>
              <w:rPr>
                <w:rFonts w:hint="eastAsia" w:cs="宋体"/>
                <w:bCs/>
                <w:color w:val="000000" w:themeColor="text1"/>
                <w:sz w:val="22"/>
                <w:lang w:val="en-US" w:eastAsia="zh-CN"/>
                <w14:textFill>
                  <w14:solidFill>
                    <w14:schemeClr w14:val="tx1"/>
                  </w14:solidFill>
                </w14:textFill>
              </w:rPr>
              <w:t>4</w:t>
            </w:r>
          </w:p>
        </w:tc>
        <w:tc>
          <w:tcPr>
            <w:tcW w:w="2983" w:type="dxa"/>
            <w:tcBorders>
              <w:top w:val="single" w:color="000000" w:sz="4" w:space="0"/>
              <w:bottom w:val="single" w:color="000000" w:sz="4" w:space="0"/>
            </w:tcBorders>
            <w:vAlign w:val="center"/>
          </w:tcPr>
          <w:p>
            <w:pPr>
              <w:pStyle w:val="9"/>
              <w:jc w:val="left"/>
              <w:rPr>
                <w:rFonts w:hint="eastAsia" w:ascii="宋体" w:hAnsi="宋体" w:eastAsia="宋体" w:cs="宋体"/>
                <w:sz w:val="22"/>
                <w:lang w:val="en-US" w:eastAsia="zh-CN"/>
              </w:rPr>
            </w:pPr>
            <w:r>
              <w:rPr>
                <w:rFonts w:hint="eastAsia" w:cs="宋体"/>
                <w:sz w:val="22"/>
                <w:lang w:val="en-US" w:eastAsia="zh-CN"/>
              </w:rPr>
              <w:t>台式晾片柜</w:t>
            </w:r>
          </w:p>
        </w:tc>
        <w:tc>
          <w:tcPr>
            <w:tcW w:w="1704" w:type="dxa"/>
            <w:tcBorders>
              <w:top w:val="single" w:color="000000" w:sz="4" w:space="0"/>
              <w:bottom w:val="single" w:color="000000" w:sz="4" w:space="0"/>
            </w:tcBorders>
            <w:vAlign w:val="center"/>
          </w:tcPr>
          <w:p>
            <w:pPr>
              <w:pStyle w:val="9"/>
              <w:jc w:val="center"/>
              <w:rPr>
                <w:rFonts w:hint="eastAsia" w:ascii="宋体" w:hAnsi="宋体" w:eastAsia="宋体" w:cs="宋体"/>
                <w:sz w:val="22"/>
                <w:lang w:val="en-US" w:eastAsia="zh-CN"/>
              </w:rPr>
            </w:pPr>
            <w:r>
              <w:rPr>
                <w:rFonts w:hint="eastAsia" w:cs="宋体"/>
                <w:sz w:val="22"/>
                <w:lang w:val="en-US" w:eastAsia="zh-CN"/>
              </w:rPr>
              <w:t>1</w:t>
            </w:r>
          </w:p>
        </w:tc>
        <w:tc>
          <w:tcPr>
            <w:tcW w:w="1279" w:type="dxa"/>
            <w:tcBorders>
              <w:top w:val="single" w:color="000000" w:sz="4" w:space="0"/>
              <w:bottom w:val="single" w:color="000000" w:sz="4" w:space="0"/>
            </w:tcBorders>
            <w:vAlign w:val="center"/>
          </w:tcPr>
          <w:p>
            <w:pPr>
              <w:pStyle w:val="9"/>
              <w:jc w:val="center"/>
              <w:rPr>
                <w:rFonts w:hint="eastAsia" w:ascii="宋体" w:hAnsi="宋体" w:eastAsia="宋体" w:cs="宋体"/>
                <w:bCs/>
                <w:color w:val="000000" w:themeColor="text1"/>
                <w:sz w:val="22"/>
                <w:lang w:val="en-US" w:eastAsia="zh-CN"/>
                <w14:textFill>
                  <w14:solidFill>
                    <w14:schemeClr w14:val="tx1"/>
                  </w14:solidFill>
                </w14:textFill>
              </w:rPr>
            </w:pPr>
            <w:r>
              <w:rPr>
                <w:rFonts w:hint="eastAsia" w:cs="宋体"/>
                <w:bCs/>
                <w:color w:val="000000" w:themeColor="text1"/>
                <w:sz w:val="22"/>
                <w:lang w:val="en-US" w:eastAsia="zh-CN"/>
                <w14:textFill>
                  <w14:solidFill>
                    <w14:schemeClr w14:val="tx1"/>
                  </w14:solidFill>
                </w14:textFill>
              </w:rPr>
              <w:t>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7" w:hRule="atLeast"/>
        </w:trPr>
        <w:tc>
          <w:tcPr>
            <w:tcW w:w="8307" w:type="dxa"/>
            <w:gridSpan w:val="5"/>
            <w:tcBorders>
              <w:top w:val="single" w:color="000000" w:sz="4" w:space="0"/>
              <w:bottom w:val="single" w:color="000000" w:sz="4" w:space="0"/>
              <w:right w:val="single" w:color="000000" w:sz="6" w:space="0"/>
            </w:tcBorders>
            <w:vAlign w:val="center"/>
          </w:tcPr>
          <w:p>
            <w:pPr>
              <w:pStyle w:val="9"/>
              <w:spacing w:before="8"/>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非</w:t>
            </w:r>
            <w:r>
              <w:rPr>
                <w:rFonts w:hint="eastAsia" w:ascii="宋体" w:hAnsi="宋体" w:eastAsia="宋体" w:cs="宋体"/>
                <w:bCs/>
                <w:color w:val="000000" w:themeColor="text1"/>
                <w:sz w:val="24"/>
                <w14:textFill>
                  <w14:solidFill>
                    <w14:schemeClr w14:val="tx1"/>
                  </w14:solidFill>
                </w14:textFill>
              </w:rPr>
              <w:t>专业硬件清单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7" w:hRule="atLeast"/>
        </w:trPr>
        <w:tc>
          <w:tcPr>
            <w:tcW w:w="2341" w:type="dxa"/>
            <w:gridSpan w:val="2"/>
            <w:tcBorders>
              <w:top w:val="single" w:color="000000" w:sz="4" w:space="0"/>
              <w:bottom w:val="single" w:color="000000" w:sz="4" w:space="0"/>
            </w:tcBorders>
          </w:tcPr>
          <w:p>
            <w:pPr>
              <w:pStyle w:val="9"/>
              <w:spacing w:before="8"/>
              <w:jc w:val="center"/>
              <w:rPr>
                <w:rFonts w:hint="eastAsia" w:ascii="宋体" w:hAnsi="宋体" w:eastAsia="宋体" w:cs="宋体"/>
                <w:bCs/>
                <w:color w:val="000000" w:themeColor="text1"/>
                <w:sz w:val="19"/>
                <w14:textFill>
                  <w14:solidFill>
                    <w14:schemeClr w14:val="tx1"/>
                  </w14:solidFill>
                </w14:textFill>
              </w:rPr>
            </w:pPr>
          </w:p>
          <w:p>
            <w:pPr>
              <w:pStyle w:val="9"/>
              <w:jc w:val="center"/>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序号</w:t>
            </w:r>
          </w:p>
        </w:tc>
        <w:tc>
          <w:tcPr>
            <w:tcW w:w="2983" w:type="dxa"/>
            <w:tcBorders>
              <w:top w:val="single" w:color="000000" w:sz="4" w:space="0"/>
              <w:bottom w:val="single" w:color="000000" w:sz="4" w:space="0"/>
            </w:tcBorders>
          </w:tcPr>
          <w:p>
            <w:pPr>
              <w:pStyle w:val="9"/>
              <w:spacing w:before="8"/>
              <w:jc w:val="center"/>
              <w:rPr>
                <w:rFonts w:hint="eastAsia" w:ascii="宋体" w:hAnsi="宋体" w:eastAsia="宋体" w:cs="宋体"/>
                <w:bCs/>
                <w:color w:val="000000" w:themeColor="text1"/>
                <w:sz w:val="19"/>
                <w14:textFill>
                  <w14:solidFill>
                    <w14:schemeClr w14:val="tx1"/>
                  </w14:solidFill>
                </w14:textFill>
              </w:rPr>
            </w:pPr>
          </w:p>
          <w:p>
            <w:pPr>
              <w:pStyle w:val="9"/>
              <w:jc w:val="center"/>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产品名称</w:t>
            </w:r>
          </w:p>
        </w:tc>
        <w:tc>
          <w:tcPr>
            <w:tcW w:w="1704" w:type="dxa"/>
            <w:tcBorders>
              <w:top w:val="single" w:color="000000" w:sz="4" w:space="0"/>
              <w:bottom w:val="single" w:color="000000" w:sz="4" w:space="0"/>
            </w:tcBorders>
          </w:tcPr>
          <w:p>
            <w:pPr>
              <w:pStyle w:val="9"/>
              <w:spacing w:before="8"/>
              <w:jc w:val="center"/>
              <w:rPr>
                <w:rFonts w:hint="eastAsia" w:ascii="宋体" w:hAnsi="宋体" w:eastAsia="宋体" w:cs="宋体"/>
                <w:bCs/>
                <w:color w:val="000000" w:themeColor="text1"/>
                <w:sz w:val="19"/>
                <w14:textFill>
                  <w14:solidFill>
                    <w14:schemeClr w14:val="tx1"/>
                  </w14:solidFill>
                </w14:textFill>
              </w:rPr>
            </w:pPr>
          </w:p>
          <w:p>
            <w:pPr>
              <w:pStyle w:val="9"/>
              <w:ind w:left="254"/>
              <w:jc w:val="center"/>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数量</w:t>
            </w:r>
          </w:p>
        </w:tc>
        <w:tc>
          <w:tcPr>
            <w:tcW w:w="1279" w:type="dxa"/>
            <w:tcBorders>
              <w:top w:val="single" w:color="000000" w:sz="4" w:space="0"/>
              <w:bottom w:val="single" w:color="000000" w:sz="4" w:space="0"/>
            </w:tcBorders>
          </w:tcPr>
          <w:p>
            <w:pPr>
              <w:pStyle w:val="9"/>
              <w:spacing w:before="8"/>
              <w:jc w:val="center"/>
              <w:rPr>
                <w:rFonts w:hint="eastAsia" w:ascii="宋体" w:hAnsi="宋体" w:eastAsia="宋体" w:cs="宋体"/>
                <w:bCs/>
                <w:color w:val="000000" w:themeColor="text1"/>
                <w:sz w:val="19"/>
                <w14:textFill>
                  <w14:solidFill>
                    <w14:schemeClr w14:val="tx1"/>
                  </w14:solidFill>
                </w14:textFill>
              </w:rPr>
            </w:pPr>
          </w:p>
          <w:p>
            <w:pPr>
              <w:pStyle w:val="9"/>
              <w:ind w:left="109"/>
              <w:jc w:val="center"/>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7" w:hRule="atLeast"/>
        </w:trPr>
        <w:tc>
          <w:tcPr>
            <w:tcW w:w="2341" w:type="dxa"/>
            <w:gridSpan w:val="2"/>
            <w:tcBorders>
              <w:top w:val="single" w:color="000000" w:sz="4" w:space="0"/>
              <w:bottom w:val="single" w:color="000000" w:sz="4" w:space="0"/>
            </w:tcBorders>
            <w:vAlign w:val="center"/>
          </w:tcPr>
          <w:p>
            <w:pPr>
              <w:pStyle w:val="9"/>
              <w:jc w:val="center"/>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bCs/>
                <w:color w:val="000000" w:themeColor="text1"/>
                <w:sz w:val="22"/>
                <w:lang w:val="en-US"/>
                <w14:textFill>
                  <w14:solidFill>
                    <w14:schemeClr w14:val="tx1"/>
                  </w14:solidFill>
                </w14:textFill>
              </w:rPr>
              <w:t>1</w:t>
            </w:r>
          </w:p>
        </w:tc>
        <w:tc>
          <w:tcPr>
            <w:tcW w:w="2983" w:type="dxa"/>
            <w:tcBorders>
              <w:top w:val="single" w:color="000000" w:sz="4" w:space="0"/>
              <w:bottom w:val="single" w:color="000000" w:sz="4" w:space="0"/>
            </w:tcBorders>
            <w:vAlign w:val="center"/>
          </w:tcPr>
          <w:p>
            <w:pPr>
              <w:pStyle w:val="9"/>
              <w:jc w:val="left"/>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sz w:val="22"/>
              </w:rPr>
              <w:t>工作站电脑</w:t>
            </w:r>
          </w:p>
        </w:tc>
        <w:tc>
          <w:tcPr>
            <w:tcW w:w="1704" w:type="dxa"/>
            <w:tcBorders>
              <w:top w:val="single" w:color="000000" w:sz="4" w:space="0"/>
              <w:bottom w:val="single" w:color="000000" w:sz="4" w:space="0"/>
            </w:tcBorders>
            <w:vAlign w:val="center"/>
          </w:tcPr>
          <w:p>
            <w:pPr>
              <w:pStyle w:val="9"/>
              <w:jc w:val="center"/>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sz w:val="22"/>
              </w:rPr>
              <w:t>9</w:t>
            </w:r>
          </w:p>
        </w:tc>
        <w:tc>
          <w:tcPr>
            <w:tcW w:w="1279" w:type="dxa"/>
            <w:tcBorders>
              <w:top w:val="single" w:color="000000" w:sz="4" w:space="0"/>
              <w:bottom w:val="single" w:color="000000" w:sz="4" w:space="0"/>
            </w:tcBorders>
            <w:vAlign w:val="center"/>
          </w:tcPr>
          <w:p>
            <w:pPr>
              <w:pStyle w:val="9"/>
              <w:jc w:val="center"/>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sz w:val="20"/>
                <w:szCs w:val="20"/>
              </w:rPr>
              <w:t>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7" w:hRule="atLeast"/>
        </w:trPr>
        <w:tc>
          <w:tcPr>
            <w:tcW w:w="2341" w:type="dxa"/>
            <w:gridSpan w:val="2"/>
            <w:tcBorders>
              <w:top w:val="single" w:color="000000" w:sz="4" w:space="0"/>
              <w:bottom w:val="single" w:color="000000" w:sz="4" w:space="0"/>
            </w:tcBorders>
            <w:vAlign w:val="center"/>
          </w:tcPr>
          <w:p>
            <w:pPr>
              <w:pStyle w:val="9"/>
              <w:jc w:val="center"/>
              <w:rPr>
                <w:rFonts w:hint="eastAsia" w:ascii="宋体" w:hAnsi="宋体" w:eastAsia="宋体" w:cs="宋体"/>
                <w:sz w:val="28"/>
                <w:szCs w:val="28"/>
              </w:rPr>
            </w:pPr>
            <w:r>
              <w:rPr>
                <w:rFonts w:hint="eastAsia" w:ascii="宋体" w:hAnsi="宋体" w:eastAsia="宋体" w:cs="宋体"/>
                <w:bCs/>
                <w:color w:val="000000" w:themeColor="text1"/>
                <w:sz w:val="22"/>
                <w:lang w:val="en-US"/>
                <w14:textFill>
                  <w14:solidFill>
                    <w14:schemeClr w14:val="tx1"/>
                  </w14:solidFill>
                </w14:textFill>
              </w:rPr>
              <w:t>2</w:t>
            </w:r>
          </w:p>
        </w:tc>
        <w:tc>
          <w:tcPr>
            <w:tcW w:w="2983" w:type="dxa"/>
            <w:tcBorders>
              <w:top w:val="single" w:color="000000" w:sz="4" w:space="0"/>
              <w:bottom w:val="single" w:color="000000" w:sz="4" w:space="0"/>
            </w:tcBorders>
            <w:vAlign w:val="center"/>
          </w:tcPr>
          <w:p>
            <w:pPr>
              <w:pStyle w:val="9"/>
              <w:jc w:val="left"/>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sz w:val="22"/>
              </w:rPr>
              <w:t>触摸一体机</w:t>
            </w:r>
          </w:p>
        </w:tc>
        <w:tc>
          <w:tcPr>
            <w:tcW w:w="1704" w:type="dxa"/>
            <w:tcBorders>
              <w:top w:val="single" w:color="000000" w:sz="4" w:space="0"/>
              <w:bottom w:val="single" w:color="000000" w:sz="4" w:space="0"/>
            </w:tcBorders>
            <w:vAlign w:val="center"/>
          </w:tcPr>
          <w:p>
            <w:pPr>
              <w:pStyle w:val="9"/>
              <w:jc w:val="center"/>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sz w:val="22"/>
              </w:rPr>
              <w:t>1</w:t>
            </w:r>
          </w:p>
        </w:tc>
        <w:tc>
          <w:tcPr>
            <w:tcW w:w="1279" w:type="dxa"/>
            <w:tcBorders>
              <w:top w:val="single" w:color="000000" w:sz="4" w:space="0"/>
              <w:bottom w:val="single" w:color="000000" w:sz="4" w:space="0"/>
            </w:tcBorders>
            <w:vAlign w:val="center"/>
          </w:tcPr>
          <w:p>
            <w:pPr>
              <w:pStyle w:val="9"/>
              <w:jc w:val="center"/>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bCs/>
                <w:color w:val="000000" w:themeColor="text1"/>
                <w:sz w:val="22"/>
                <w:lang w:val="en-US"/>
                <w14:textFill>
                  <w14:solidFill>
                    <w14:schemeClr w14:val="tx1"/>
                  </w14:solidFill>
                </w14:textFill>
              </w:rPr>
              <w:t>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7" w:hRule="atLeast"/>
        </w:trPr>
        <w:tc>
          <w:tcPr>
            <w:tcW w:w="2341" w:type="dxa"/>
            <w:gridSpan w:val="2"/>
            <w:tcBorders>
              <w:top w:val="single" w:color="000000" w:sz="4" w:space="0"/>
              <w:bottom w:val="single" w:color="000000" w:sz="4" w:space="0"/>
            </w:tcBorders>
            <w:vAlign w:val="center"/>
          </w:tcPr>
          <w:p>
            <w:pPr>
              <w:pStyle w:val="9"/>
              <w:jc w:val="center"/>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bCs/>
                <w:color w:val="000000" w:themeColor="text1"/>
                <w:sz w:val="22"/>
                <w:lang w:val="en-US"/>
                <w14:textFill>
                  <w14:solidFill>
                    <w14:schemeClr w14:val="tx1"/>
                  </w14:solidFill>
                </w14:textFill>
              </w:rPr>
              <w:t>3</w:t>
            </w:r>
          </w:p>
        </w:tc>
        <w:tc>
          <w:tcPr>
            <w:tcW w:w="2983" w:type="dxa"/>
            <w:tcBorders>
              <w:top w:val="single" w:color="000000" w:sz="4" w:space="0"/>
              <w:bottom w:val="single" w:color="000000" w:sz="4" w:space="0"/>
            </w:tcBorders>
            <w:vAlign w:val="center"/>
          </w:tcPr>
          <w:p>
            <w:pPr>
              <w:pStyle w:val="9"/>
              <w:jc w:val="left"/>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sz w:val="22"/>
              </w:rPr>
              <w:t>条码扫描枪-有线</w:t>
            </w:r>
          </w:p>
        </w:tc>
        <w:tc>
          <w:tcPr>
            <w:tcW w:w="1704" w:type="dxa"/>
            <w:tcBorders>
              <w:top w:val="single" w:color="000000" w:sz="4" w:space="0"/>
              <w:bottom w:val="single" w:color="000000" w:sz="4" w:space="0"/>
            </w:tcBorders>
            <w:vAlign w:val="center"/>
          </w:tcPr>
          <w:p>
            <w:pPr>
              <w:pStyle w:val="9"/>
              <w:jc w:val="center"/>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sz w:val="22"/>
              </w:rPr>
              <w:t>10</w:t>
            </w:r>
          </w:p>
        </w:tc>
        <w:tc>
          <w:tcPr>
            <w:tcW w:w="1279" w:type="dxa"/>
            <w:tcBorders>
              <w:top w:val="single" w:color="000000" w:sz="4" w:space="0"/>
              <w:bottom w:val="single" w:color="000000" w:sz="4" w:space="0"/>
            </w:tcBorders>
            <w:vAlign w:val="center"/>
          </w:tcPr>
          <w:p>
            <w:pPr>
              <w:pStyle w:val="9"/>
              <w:jc w:val="center"/>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bCs/>
                <w:color w:val="000000" w:themeColor="text1"/>
                <w:sz w:val="22"/>
                <w:lang w:val="en-US"/>
                <w14:textFill>
                  <w14:solidFill>
                    <w14:schemeClr w14:val="tx1"/>
                  </w14:solidFill>
                </w14:textFill>
              </w:rPr>
              <w:t>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7" w:hRule="atLeast"/>
        </w:trPr>
        <w:tc>
          <w:tcPr>
            <w:tcW w:w="2341" w:type="dxa"/>
            <w:gridSpan w:val="2"/>
            <w:tcBorders>
              <w:top w:val="single" w:color="000000" w:sz="4" w:space="0"/>
              <w:bottom w:val="single" w:color="000000" w:sz="4" w:space="0"/>
            </w:tcBorders>
            <w:vAlign w:val="center"/>
          </w:tcPr>
          <w:p>
            <w:pPr>
              <w:pStyle w:val="9"/>
              <w:jc w:val="center"/>
              <w:rPr>
                <w:rFonts w:hint="eastAsia" w:ascii="宋体" w:hAnsi="宋体" w:eastAsia="宋体" w:cs="宋体"/>
                <w:bCs/>
                <w:color w:val="000000" w:themeColor="text1"/>
                <w:sz w:val="22"/>
                <w:lang w:val="en-US" w:eastAsia="zh-CN"/>
                <w14:textFill>
                  <w14:solidFill>
                    <w14:schemeClr w14:val="tx1"/>
                  </w14:solidFill>
                </w14:textFill>
              </w:rPr>
            </w:pPr>
            <w:r>
              <w:rPr>
                <w:rFonts w:hint="eastAsia" w:ascii="宋体" w:hAnsi="宋体" w:eastAsia="宋体" w:cs="宋体"/>
                <w:bCs/>
                <w:color w:val="000000" w:themeColor="text1"/>
                <w:sz w:val="22"/>
                <w:lang w:val="en-US" w:eastAsia="zh-CN"/>
                <w14:textFill>
                  <w14:solidFill>
                    <w14:schemeClr w14:val="tx1"/>
                  </w14:solidFill>
                </w14:textFill>
              </w:rPr>
              <w:t>4</w:t>
            </w:r>
          </w:p>
        </w:tc>
        <w:tc>
          <w:tcPr>
            <w:tcW w:w="2983" w:type="dxa"/>
            <w:tcBorders>
              <w:top w:val="single" w:color="000000" w:sz="4" w:space="0"/>
              <w:bottom w:val="single" w:color="000000" w:sz="4" w:space="0"/>
            </w:tcBorders>
            <w:vAlign w:val="center"/>
          </w:tcPr>
          <w:p>
            <w:pPr>
              <w:pStyle w:val="9"/>
              <w:jc w:val="left"/>
              <w:rPr>
                <w:rFonts w:hint="eastAsia" w:ascii="宋体" w:hAnsi="宋体" w:eastAsia="宋体" w:cs="宋体"/>
                <w:bCs/>
                <w:color w:val="000000" w:themeColor="text1"/>
                <w:kern w:val="2"/>
                <w:sz w:val="22"/>
                <w:szCs w:val="24"/>
                <w:lang w:val="en-US" w:eastAsia="zh-CN" w:bidi="zh-CN"/>
                <w14:textFill>
                  <w14:solidFill>
                    <w14:schemeClr w14:val="tx1"/>
                  </w14:solidFill>
                </w14:textFill>
              </w:rPr>
            </w:pPr>
            <w:r>
              <w:rPr>
                <w:rFonts w:hint="eastAsia" w:ascii="宋体" w:hAnsi="宋体" w:eastAsia="宋体" w:cs="宋体"/>
                <w:sz w:val="22"/>
              </w:rPr>
              <w:t>条码扫描枪-</w:t>
            </w:r>
            <w:r>
              <w:rPr>
                <w:rFonts w:hint="eastAsia" w:ascii="宋体" w:hAnsi="宋体" w:eastAsia="宋体" w:cs="宋体"/>
                <w:sz w:val="22"/>
                <w:lang w:val="en-US" w:eastAsia="zh-CN"/>
              </w:rPr>
              <w:t>无</w:t>
            </w:r>
            <w:r>
              <w:rPr>
                <w:rFonts w:hint="eastAsia" w:ascii="宋体" w:hAnsi="宋体" w:eastAsia="宋体" w:cs="宋体"/>
                <w:sz w:val="22"/>
              </w:rPr>
              <w:t>线</w:t>
            </w:r>
          </w:p>
        </w:tc>
        <w:tc>
          <w:tcPr>
            <w:tcW w:w="1704" w:type="dxa"/>
            <w:tcBorders>
              <w:top w:val="single" w:color="000000" w:sz="4" w:space="0"/>
              <w:bottom w:val="single" w:color="000000" w:sz="4" w:space="0"/>
            </w:tcBorders>
            <w:vAlign w:val="center"/>
          </w:tcPr>
          <w:p>
            <w:pPr>
              <w:pStyle w:val="9"/>
              <w:jc w:val="center"/>
              <w:rPr>
                <w:rFonts w:hint="eastAsia" w:ascii="宋体" w:hAnsi="宋体" w:eastAsia="宋体" w:cs="宋体"/>
                <w:bCs/>
                <w:color w:val="000000" w:themeColor="text1"/>
                <w:kern w:val="2"/>
                <w:sz w:val="22"/>
                <w:szCs w:val="24"/>
                <w:lang w:val="en-US" w:eastAsia="zh-CN" w:bidi="zh-CN"/>
                <w14:textFill>
                  <w14:solidFill>
                    <w14:schemeClr w14:val="tx1"/>
                  </w14:solidFill>
                </w14:textFill>
              </w:rPr>
            </w:pPr>
            <w:r>
              <w:rPr>
                <w:rFonts w:hint="eastAsia" w:ascii="宋体" w:hAnsi="宋体" w:eastAsia="宋体" w:cs="宋体"/>
                <w:sz w:val="22"/>
              </w:rPr>
              <w:t>1</w:t>
            </w:r>
          </w:p>
        </w:tc>
        <w:tc>
          <w:tcPr>
            <w:tcW w:w="1279" w:type="dxa"/>
            <w:tcBorders>
              <w:top w:val="single" w:color="000000" w:sz="4" w:space="0"/>
              <w:bottom w:val="single" w:color="000000" w:sz="4" w:space="0"/>
            </w:tcBorders>
            <w:vAlign w:val="center"/>
          </w:tcPr>
          <w:p>
            <w:pPr>
              <w:pStyle w:val="9"/>
              <w:jc w:val="center"/>
              <w:rPr>
                <w:rFonts w:hint="eastAsia" w:ascii="宋体" w:hAnsi="宋体" w:eastAsia="宋体" w:cs="宋体"/>
                <w:bCs/>
                <w:color w:val="000000" w:themeColor="text1"/>
                <w:kern w:val="2"/>
                <w:sz w:val="22"/>
                <w:szCs w:val="24"/>
                <w:lang w:val="en-US" w:eastAsia="zh-CN" w:bidi="zh-CN"/>
                <w14:textFill>
                  <w14:solidFill>
                    <w14:schemeClr w14:val="tx1"/>
                  </w14:solidFill>
                </w14:textFill>
              </w:rPr>
            </w:pPr>
            <w:r>
              <w:rPr>
                <w:rFonts w:hint="eastAsia" w:ascii="宋体" w:hAnsi="宋体" w:eastAsia="宋体" w:cs="宋体"/>
                <w:bCs/>
                <w:color w:val="000000" w:themeColor="text1"/>
                <w:sz w:val="22"/>
                <w:lang w:val="en-US"/>
                <w14:textFill>
                  <w14:solidFill>
                    <w14:schemeClr w14:val="tx1"/>
                  </w14:solidFill>
                </w14:textFill>
              </w:rPr>
              <w:t>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7" w:hRule="atLeast"/>
        </w:trPr>
        <w:tc>
          <w:tcPr>
            <w:tcW w:w="2341" w:type="dxa"/>
            <w:gridSpan w:val="2"/>
            <w:tcBorders>
              <w:top w:val="single" w:color="000000" w:sz="4" w:space="0"/>
              <w:bottom w:val="single" w:color="000000" w:sz="4" w:space="0"/>
            </w:tcBorders>
            <w:vAlign w:val="center"/>
          </w:tcPr>
          <w:p>
            <w:pPr>
              <w:pStyle w:val="9"/>
              <w:jc w:val="center"/>
              <w:rPr>
                <w:rFonts w:hint="eastAsia" w:ascii="宋体" w:hAnsi="宋体" w:eastAsia="宋体" w:cs="宋体"/>
                <w:bCs/>
                <w:color w:val="000000" w:themeColor="text1"/>
                <w:sz w:val="22"/>
                <w:lang w:val="en-US" w:eastAsia="zh-CN"/>
                <w14:textFill>
                  <w14:solidFill>
                    <w14:schemeClr w14:val="tx1"/>
                  </w14:solidFill>
                </w14:textFill>
              </w:rPr>
            </w:pPr>
            <w:r>
              <w:rPr>
                <w:rFonts w:hint="eastAsia" w:ascii="宋体" w:hAnsi="宋体" w:eastAsia="宋体" w:cs="宋体"/>
                <w:bCs/>
                <w:color w:val="000000" w:themeColor="text1"/>
                <w:sz w:val="22"/>
                <w:lang w:val="en-US" w:eastAsia="zh-CN"/>
                <w14:textFill>
                  <w14:solidFill>
                    <w14:schemeClr w14:val="tx1"/>
                  </w14:solidFill>
                </w14:textFill>
              </w:rPr>
              <w:t>5</w:t>
            </w:r>
          </w:p>
        </w:tc>
        <w:tc>
          <w:tcPr>
            <w:tcW w:w="2983" w:type="dxa"/>
            <w:tcBorders>
              <w:top w:val="single" w:color="000000" w:sz="4" w:space="0"/>
              <w:bottom w:val="single" w:color="000000" w:sz="4" w:space="0"/>
            </w:tcBorders>
            <w:vAlign w:val="center"/>
          </w:tcPr>
          <w:p>
            <w:pPr>
              <w:pStyle w:val="9"/>
              <w:jc w:val="left"/>
              <w:rPr>
                <w:rFonts w:hint="eastAsia" w:ascii="宋体" w:hAnsi="宋体" w:eastAsia="宋体" w:cs="宋体"/>
                <w:color w:val="000000"/>
                <w:kern w:val="0"/>
                <w:sz w:val="24"/>
              </w:rPr>
            </w:pPr>
            <w:r>
              <w:rPr>
                <w:rFonts w:hint="eastAsia" w:ascii="宋体" w:hAnsi="宋体" w:eastAsia="宋体" w:cs="宋体"/>
                <w:sz w:val="22"/>
              </w:rPr>
              <w:t>高拍仪</w:t>
            </w:r>
          </w:p>
        </w:tc>
        <w:tc>
          <w:tcPr>
            <w:tcW w:w="1704" w:type="dxa"/>
            <w:tcBorders>
              <w:top w:val="single" w:color="000000" w:sz="4" w:space="0"/>
              <w:bottom w:val="single" w:color="000000" w:sz="4" w:space="0"/>
            </w:tcBorders>
            <w:vAlign w:val="center"/>
          </w:tcPr>
          <w:p>
            <w:pPr>
              <w:pStyle w:val="9"/>
              <w:jc w:val="center"/>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sz w:val="22"/>
              </w:rPr>
              <w:t>1</w:t>
            </w:r>
          </w:p>
        </w:tc>
        <w:tc>
          <w:tcPr>
            <w:tcW w:w="1279" w:type="dxa"/>
            <w:tcBorders>
              <w:top w:val="single" w:color="000000" w:sz="4" w:space="0"/>
              <w:bottom w:val="single" w:color="000000" w:sz="4" w:space="0"/>
            </w:tcBorders>
            <w:vAlign w:val="center"/>
          </w:tcPr>
          <w:p>
            <w:pPr>
              <w:pStyle w:val="9"/>
              <w:jc w:val="center"/>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bCs/>
                <w:color w:val="000000" w:themeColor="text1"/>
                <w:sz w:val="22"/>
                <w:lang w:val="en-US"/>
                <w14:textFill>
                  <w14:solidFill>
                    <w14:schemeClr w14:val="tx1"/>
                  </w14:solidFill>
                </w14:textFill>
              </w:rPr>
              <w:t>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7" w:hRule="atLeast"/>
        </w:trPr>
        <w:tc>
          <w:tcPr>
            <w:tcW w:w="2341" w:type="dxa"/>
            <w:gridSpan w:val="2"/>
            <w:tcBorders>
              <w:top w:val="single" w:color="000000" w:sz="4" w:space="0"/>
              <w:bottom w:val="single" w:color="000000" w:sz="4" w:space="0"/>
            </w:tcBorders>
            <w:vAlign w:val="center"/>
          </w:tcPr>
          <w:p>
            <w:pPr>
              <w:pStyle w:val="9"/>
              <w:jc w:val="center"/>
              <w:rPr>
                <w:rFonts w:hint="eastAsia" w:ascii="宋体" w:hAnsi="宋体" w:eastAsia="宋体" w:cs="宋体"/>
                <w:bCs/>
                <w:color w:val="000000" w:themeColor="text1"/>
                <w:sz w:val="22"/>
                <w:lang w:val="en-US" w:eastAsia="zh-CN"/>
                <w14:textFill>
                  <w14:solidFill>
                    <w14:schemeClr w14:val="tx1"/>
                  </w14:solidFill>
                </w14:textFill>
              </w:rPr>
            </w:pPr>
            <w:r>
              <w:rPr>
                <w:rFonts w:hint="eastAsia" w:ascii="宋体" w:hAnsi="宋体" w:eastAsia="宋体" w:cs="宋体"/>
                <w:bCs/>
                <w:color w:val="000000" w:themeColor="text1"/>
                <w:sz w:val="22"/>
                <w:lang w:val="en-US" w:eastAsia="zh-CN"/>
                <w14:textFill>
                  <w14:solidFill>
                    <w14:schemeClr w14:val="tx1"/>
                  </w14:solidFill>
                </w14:textFill>
              </w:rPr>
              <w:t>6</w:t>
            </w:r>
          </w:p>
        </w:tc>
        <w:tc>
          <w:tcPr>
            <w:tcW w:w="2983" w:type="dxa"/>
            <w:tcBorders>
              <w:top w:val="single" w:color="000000" w:sz="4" w:space="0"/>
              <w:bottom w:val="single" w:color="000000" w:sz="4" w:space="0"/>
            </w:tcBorders>
            <w:vAlign w:val="center"/>
          </w:tcPr>
          <w:p>
            <w:pPr>
              <w:pStyle w:val="9"/>
              <w:jc w:val="left"/>
              <w:rPr>
                <w:rFonts w:hint="eastAsia" w:ascii="宋体" w:hAnsi="宋体" w:eastAsia="宋体" w:cs="宋体"/>
                <w:color w:val="000000"/>
                <w:kern w:val="0"/>
                <w:sz w:val="24"/>
              </w:rPr>
            </w:pPr>
            <w:r>
              <w:rPr>
                <w:rFonts w:hint="eastAsia" w:ascii="宋体" w:hAnsi="宋体" w:eastAsia="宋体" w:cs="宋体"/>
                <w:sz w:val="22"/>
              </w:rPr>
              <w:t>专业标签打印机</w:t>
            </w:r>
          </w:p>
        </w:tc>
        <w:tc>
          <w:tcPr>
            <w:tcW w:w="1704" w:type="dxa"/>
            <w:tcBorders>
              <w:top w:val="single" w:color="000000" w:sz="4" w:space="0"/>
              <w:bottom w:val="single" w:color="000000" w:sz="4" w:space="0"/>
            </w:tcBorders>
            <w:vAlign w:val="center"/>
          </w:tcPr>
          <w:p>
            <w:pPr>
              <w:pStyle w:val="9"/>
              <w:jc w:val="center"/>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sz w:val="22"/>
              </w:rPr>
              <w:t>2</w:t>
            </w:r>
          </w:p>
        </w:tc>
        <w:tc>
          <w:tcPr>
            <w:tcW w:w="1279" w:type="dxa"/>
            <w:tcBorders>
              <w:top w:val="single" w:color="000000" w:sz="4" w:space="0"/>
              <w:bottom w:val="single" w:color="000000" w:sz="4" w:space="0"/>
            </w:tcBorders>
            <w:vAlign w:val="center"/>
          </w:tcPr>
          <w:p>
            <w:pPr>
              <w:pStyle w:val="9"/>
              <w:jc w:val="center"/>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bCs/>
                <w:color w:val="000000" w:themeColor="text1"/>
                <w:sz w:val="22"/>
                <w:lang w:val="en-US"/>
                <w14:textFill>
                  <w14:solidFill>
                    <w14:schemeClr w14:val="tx1"/>
                  </w14:solidFill>
                </w14:textFill>
              </w:rPr>
              <w:t>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7" w:hRule="atLeast"/>
        </w:trPr>
        <w:tc>
          <w:tcPr>
            <w:tcW w:w="2341" w:type="dxa"/>
            <w:gridSpan w:val="2"/>
            <w:tcBorders>
              <w:top w:val="single" w:color="000000" w:sz="4" w:space="0"/>
              <w:bottom w:val="single" w:color="000000" w:sz="4" w:space="0"/>
            </w:tcBorders>
            <w:vAlign w:val="center"/>
          </w:tcPr>
          <w:p>
            <w:pPr>
              <w:pStyle w:val="9"/>
              <w:jc w:val="center"/>
              <w:rPr>
                <w:rFonts w:hint="eastAsia" w:ascii="宋体" w:hAnsi="宋体" w:eastAsia="宋体" w:cs="宋体"/>
                <w:bCs/>
                <w:color w:val="000000" w:themeColor="text1"/>
                <w:sz w:val="22"/>
                <w:lang w:val="en-US" w:eastAsia="zh-CN"/>
                <w14:textFill>
                  <w14:solidFill>
                    <w14:schemeClr w14:val="tx1"/>
                  </w14:solidFill>
                </w14:textFill>
              </w:rPr>
            </w:pPr>
            <w:r>
              <w:rPr>
                <w:rFonts w:hint="eastAsia" w:ascii="宋体" w:hAnsi="宋体" w:eastAsia="宋体" w:cs="宋体"/>
                <w:bCs/>
                <w:color w:val="000000" w:themeColor="text1"/>
                <w:sz w:val="22"/>
                <w:lang w:val="en-US" w:eastAsia="zh-CN"/>
                <w14:textFill>
                  <w14:solidFill>
                    <w14:schemeClr w14:val="tx1"/>
                  </w14:solidFill>
                </w14:textFill>
              </w:rPr>
              <w:t>7</w:t>
            </w:r>
          </w:p>
        </w:tc>
        <w:tc>
          <w:tcPr>
            <w:tcW w:w="2983" w:type="dxa"/>
            <w:tcBorders>
              <w:top w:val="single" w:color="000000" w:sz="4" w:space="0"/>
              <w:bottom w:val="single" w:color="000000" w:sz="4" w:space="0"/>
            </w:tcBorders>
            <w:vAlign w:val="center"/>
          </w:tcPr>
          <w:p>
            <w:pPr>
              <w:pStyle w:val="9"/>
              <w:jc w:val="left"/>
              <w:rPr>
                <w:rFonts w:hint="eastAsia" w:ascii="宋体" w:hAnsi="宋体" w:eastAsia="宋体" w:cs="宋体"/>
                <w:color w:val="000000"/>
                <w:kern w:val="0"/>
                <w:sz w:val="24"/>
              </w:rPr>
            </w:pPr>
            <w:r>
              <w:rPr>
                <w:rFonts w:hint="eastAsia" w:ascii="宋体" w:hAnsi="宋体" w:eastAsia="宋体" w:cs="宋体"/>
                <w:sz w:val="22"/>
              </w:rPr>
              <w:t>普通标签打印机</w:t>
            </w:r>
          </w:p>
        </w:tc>
        <w:tc>
          <w:tcPr>
            <w:tcW w:w="1704" w:type="dxa"/>
            <w:tcBorders>
              <w:top w:val="single" w:color="000000" w:sz="4" w:space="0"/>
              <w:bottom w:val="single" w:color="000000" w:sz="4" w:space="0"/>
            </w:tcBorders>
            <w:vAlign w:val="center"/>
          </w:tcPr>
          <w:p>
            <w:pPr>
              <w:pStyle w:val="9"/>
              <w:jc w:val="center"/>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sz w:val="22"/>
              </w:rPr>
              <w:t>1</w:t>
            </w:r>
          </w:p>
        </w:tc>
        <w:tc>
          <w:tcPr>
            <w:tcW w:w="1279" w:type="dxa"/>
            <w:tcBorders>
              <w:top w:val="single" w:color="000000" w:sz="4" w:space="0"/>
              <w:bottom w:val="single" w:color="000000" w:sz="4" w:space="0"/>
            </w:tcBorders>
            <w:vAlign w:val="center"/>
          </w:tcPr>
          <w:p>
            <w:pPr>
              <w:pStyle w:val="9"/>
              <w:jc w:val="center"/>
              <w:rPr>
                <w:rFonts w:hint="eastAsia" w:ascii="宋体" w:hAnsi="宋体" w:eastAsia="宋体" w:cs="宋体"/>
                <w:bCs/>
                <w:color w:val="000000" w:themeColor="text1"/>
                <w:sz w:val="22"/>
                <w:lang w:val="en-US"/>
                <w14:textFill>
                  <w14:solidFill>
                    <w14:schemeClr w14:val="tx1"/>
                  </w14:solidFill>
                </w14:textFill>
              </w:rPr>
            </w:pPr>
            <w:r>
              <w:rPr>
                <w:rFonts w:hint="eastAsia" w:ascii="宋体" w:hAnsi="宋体" w:eastAsia="宋体" w:cs="宋体"/>
                <w:bCs/>
                <w:color w:val="000000" w:themeColor="text1"/>
                <w:sz w:val="22"/>
                <w:lang w:val="en-US"/>
                <w14:textFill>
                  <w14:solidFill>
                    <w14:schemeClr w14:val="tx1"/>
                  </w14:solidFill>
                </w14:textFill>
              </w:rPr>
              <w:t>台</w:t>
            </w:r>
          </w:p>
        </w:tc>
      </w:tr>
    </w:tbl>
    <w:p>
      <w:pPr>
        <w:spacing w:line="360" w:lineRule="auto"/>
        <w:rPr>
          <w:rFonts w:hint="eastAsia" w:ascii="宋体" w:hAnsi="宋体" w:eastAsia="宋体" w:cs="宋体"/>
          <w:b/>
          <w:bCs/>
          <w:color w:val="333333"/>
          <w:sz w:val="44"/>
          <w:szCs w:val="44"/>
          <w:shd w:val="clear" w:color="auto" w:fill="FFFFFF"/>
        </w:rPr>
      </w:pPr>
    </w:p>
    <w:p>
      <w:pPr>
        <w:spacing w:line="360" w:lineRule="auto"/>
        <w:rPr>
          <w:rFonts w:hint="eastAsia" w:ascii="宋体" w:hAnsi="宋体" w:eastAsia="宋体" w:cs="宋体"/>
          <w:b/>
          <w:bCs/>
          <w:color w:val="333333"/>
          <w:sz w:val="44"/>
          <w:szCs w:val="44"/>
          <w:shd w:val="clear" w:color="auto" w:fill="FFFFFF"/>
        </w:rPr>
      </w:pPr>
    </w:p>
    <w:p>
      <w:pPr>
        <w:spacing w:line="360" w:lineRule="auto"/>
        <w:rPr>
          <w:rFonts w:hint="eastAsia" w:ascii="宋体" w:hAnsi="宋体" w:eastAsia="宋体" w:cs="宋体"/>
          <w:b/>
          <w:bCs/>
          <w:color w:val="333333"/>
          <w:sz w:val="44"/>
          <w:szCs w:val="44"/>
          <w:shd w:val="clear" w:color="auto" w:fill="FFFFFF"/>
        </w:rPr>
      </w:pPr>
    </w:p>
    <w:p>
      <w:pPr>
        <w:jc w:val="center"/>
        <w:rPr>
          <w:rFonts w:hint="eastAsia" w:ascii="宋体" w:hAnsi="宋体" w:eastAsia="宋体" w:cs="宋体"/>
          <w:b/>
          <w:bCs/>
          <w:sz w:val="52"/>
          <w:szCs w:val="52"/>
          <w:lang w:val="en-US" w:eastAsia="zh-CN"/>
        </w:rPr>
      </w:pPr>
    </w:p>
    <w:p>
      <w:pPr>
        <w:jc w:val="center"/>
        <w:rPr>
          <w:rFonts w:hint="eastAsia" w:ascii="宋体" w:hAnsi="宋体" w:eastAsia="宋体" w:cs="宋体"/>
          <w:b/>
          <w:bCs/>
          <w:sz w:val="52"/>
          <w:szCs w:val="52"/>
          <w:lang w:val="en-US" w:eastAsia="zh-CN"/>
        </w:rPr>
      </w:pPr>
    </w:p>
    <w:p>
      <w:pPr>
        <w:jc w:val="center"/>
        <w:rPr>
          <w:rFonts w:hint="eastAsia" w:ascii="宋体" w:hAnsi="宋体" w:eastAsia="宋体" w:cs="宋体"/>
          <w:b/>
          <w:bCs/>
          <w:sz w:val="52"/>
          <w:szCs w:val="52"/>
          <w:lang w:val="en-US" w:eastAsia="zh-CN"/>
        </w:rPr>
      </w:pPr>
    </w:p>
    <w:p>
      <w:pPr>
        <w:jc w:val="center"/>
        <w:rPr>
          <w:rFonts w:hint="eastAsia" w:ascii="宋体" w:hAnsi="宋体" w:eastAsia="宋体" w:cs="宋体"/>
          <w:b/>
          <w:bCs/>
          <w:sz w:val="52"/>
          <w:szCs w:val="52"/>
          <w:lang w:val="en-US" w:eastAsia="zh-CN"/>
        </w:rPr>
      </w:pPr>
    </w:p>
    <w:p>
      <w:pPr>
        <w:jc w:val="center"/>
        <w:rPr>
          <w:rFonts w:hint="eastAsia" w:ascii="宋体" w:hAnsi="宋体" w:eastAsia="宋体" w:cs="宋体"/>
          <w:b/>
          <w:bCs/>
          <w:sz w:val="52"/>
          <w:szCs w:val="52"/>
          <w:lang w:val="en-US" w:eastAsia="zh-CN"/>
        </w:rPr>
      </w:pPr>
    </w:p>
    <w:p>
      <w:pPr>
        <w:jc w:val="center"/>
        <w:rPr>
          <w:rFonts w:hint="eastAsia" w:ascii="宋体" w:hAnsi="宋体" w:eastAsia="宋体" w:cs="宋体"/>
          <w:b/>
          <w:bCs/>
          <w:sz w:val="52"/>
          <w:szCs w:val="52"/>
          <w:lang w:val="en-US" w:eastAsia="zh-CN"/>
        </w:rPr>
      </w:pPr>
    </w:p>
    <w:p>
      <w:pPr>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全数字病理科信息化平台</w:t>
      </w:r>
    </w:p>
    <w:p>
      <w:pPr>
        <w:jc w:val="center"/>
        <w:rPr>
          <w:rFonts w:hint="eastAsia" w:ascii="宋体" w:hAnsi="宋体" w:eastAsia="宋体" w:cs="宋体"/>
          <w:b/>
          <w:bCs/>
          <w:sz w:val="52"/>
          <w:szCs w:val="52"/>
        </w:rPr>
      </w:pPr>
      <w:r>
        <w:rPr>
          <w:rFonts w:hint="eastAsia" w:ascii="宋体" w:hAnsi="宋体" w:eastAsia="宋体" w:cs="宋体"/>
          <w:b/>
          <w:bCs/>
          <w:sz w:val="52"/>
          <w:szCs w:val="52"/>
        </w:rPr>
        <w:t>软硬件技术参数</w:t>
      </w:r>
    </w:p>
    <w:p>
      <w:pPr>
        <w:spacing w:line="360" w:lineRule="auto"/>
        <w:rPr>
          <w:rFonts w:hint="eastAsia" w:ascii="宋体" w:hAnsi="宋体" w:eastAsia="宋体" w:cs="宋体"/>
          <w:color w:val="000000"/>
          <w:kern w:val="0"/>
          <w:sz w:val="24"/>
        </w:rPr>
      </w:pPr>
    </w:p>
    <w:p>
      <w:pPr>
        <w:spacing w:line="360" w:lineRule="auto"/>
        <w:rPr>
          <w:rFonts w:hint="eastAsia" w:ascii="宋体" w:hAnsi="宋体" w:eastAsia="宋体" w:cs="宋体"/>
          <w:b/>
          <w:bCs/>
          <w:color w:val="333333"/>
          <w:sz w:val="24"/>
          <w:szCs w:val="24"/>
          <w:shd w:val="clear" w:color="auto" w:fill="FFFFFF"/>
        </w:rPr>
      </w:pPr>
      <w:r>
        <w:rPr>
          <w:rFonts w:hint="eastAsia" w:ascii="宋体" w:hAnsi="宋体" w:eastAsia="宋体" w:cs="宋体"/>
          <w:b/>
          <w:bCs/>
          <w:color w:val="333333"/>
          <w:sz w:val="24"/>
          <w:szCs w:val="24"/>
          <w:shd w:val="clear" w:color="auto" w:fill="FFFFFF"/>
        </w:rPr>
        <w:t>一．</w:t>
      </w:r>
      <w:r>
        <w:rPr>
          <w:rFonts w:hint="eastAsia" w:ascii="宋体" w:hAnsi="宋体" w:eastAsia="宋体" w:cs="宋体"/>
          <w:b/>
          <w:bCs/>
          <w:color w:val="333333"/>
          <w:sz w:val="24"/>
          <w:szCs w:val="24"/>
          <w:shd w:val="clear" w:color="auto" w:fill="FFFFFF"/>
          <w:lang w:eastAsia="zh-CN"/>
        </w:rPr>
        <w:t>全数字病理科信息化平台</w:t>
      </w:r>
      <w:r>
        <w:rPr>
          <w:rFonts w:hint="eastAsia" w:ascii="宋体" w:hAnsi="宋体" w:eastAsia="宋体" w:cs="宋体"/>
          <w:b/>
          <w:bCs/>
          <w:color w:val="000000"/>
          <w:kern w:val="0"/>
          <w:sz w:val="24"/>
        </w:rPr>
        <w:t>软件参数：</w:t>
      </w:r>
    </w:p>
    <w:p>
      <w:pPr>
        <w:spacing w:line="360" w:lineRule="auto"/>
        <w:rPr>
          <w:rFonts w:hint="eastAsia" w:ascii="宋体" w:hAnsi="宋体" w:eastAsia="宋体" w:cs="宋体"/>
          <w:b/>
          <w:bCs/>
          <w:color w:val="333333"/>
          <w:sz w:val="24"/>
          <w:szCs w:val="24"/>
          <w:shd w:val="clear" w:color="auto" w:fill="FFFFFF"/>
        </w:rPr>
      </w:pPr>
      <w:r>
        <w:rPr>
          <w:rFonts w:hint="eastAsia" w:ascii="宋体" w:hAnsi="宋体" w:eastAsia="宋体" w:cs="宋体"/>
          <w:b/>
          <w:bCs/>
          <w:color w:val="333333"/>
          <w:sz w:val="24"/>
          <w:szCs w:val="24"/>
          <w:shd w:val="clear" w:color="auto" w:fill="FFFFFF"/>
        </w:rPr>
        <w:t>1．系统总体设计要求</w:t>
      </w:r>
    </w:p>
    <w:p>
      <w:pPr>
        <w:spacing w:line="360" w:lineRule="auto"/>
        <w:rPr>
          <w:rFonts w:hint="eastAsia" w:ascii="宋体" w:hAnsi="宋体" w:eastAsia="宋体" w:cs="宋体"/>
          <w:color w:val="333333"/>
          <w:sz w:val="24"/>
          <w:szCs w:val="24"/>
          <w:shd w:val="clear" w:color="auto" w:fill="FFFFFF"/>
        </w:rPr>
      </w:pPr>
      <w:bookmarkStart w:id="0" w:name="_Hlk38964044"/>
      <w:r>
        <w:rPr>
          <w:rFonts w:hint="eastAsia" w:ascii="宋体" w:hAnsi="宋体" w:eastAsia="宋体" w:cs="宋体"/>
          <w:color w:val="333333"/>
          <w:sz w:val="24"/>
          <w:szCs w:val="24"/>
          <w:shd w:val="clear" w:color="auto" w:fill="FFFFFF"/>
        </w:rPr>
        <w:t>▲</w:t>
      </w:r>
      <w:bookmarkEnd w:id="0"/>
      <w:r>
        <w:rPr>
          <w:rFonts w:hint="eastAsia" w:ascii="宋体" w:hAnsi="宋体" w:eastAsia="宋体" w:cs="宋体"/>
          <w:color w:val="333333"/>
          <w:sz w:val="24"/>
          <w:szCs w:val="24"/>
          <w:shd w:val="clear" w:color="auto" w:fill="FFFFFF"/>
        </w:rPr>
        <w:t>全流程设计</w:t>
      </w:r>
      <w:r>
        <w:rPr>
          <w:rFonts w:hint="eastAsia" w:ascii="宋体" w:hAnsi="宋体" w:eastAsia="宋体" w:cs="宋体"/>
          <w:color w:val="333333"/>
          <w:sz w:val="24"/>
          <w:szCs w:val="24"/>
          <w:shd w:val="clear" w:color="auto" w:fill="FFFFFF"/>
        </w:rPr>
        <w:br w:type="textWrapping"/>
      </w:r>
      <w:r>
        <w:rPr>
          <w:rFonts w:hint="eastAsia" w:ascii="宋体" w:hAnsi="宋体" w:eastAsia="宋体" w:cs="宋体"/>
          <w:color w:val="333333"/>
          <w:sz w:val="24"/>
          <w:szCs w:val="24"/>
          <w:shd w:val="clear" w:color="auto" w:fill="FFFFFF"/>
        </w:rPr>
        <w:t>病理全流程质控和信息管理系统包括病理检查申请、标本登记、取材、切片、包埋、诊断、特检、会诊、库房和成本管理等模块功能，涵盖病理科每一个工作环节和工作内容，各个内容有机统一形成一个管理整体，并与医院现有的医院信息管理系统（HIS）、电子病历系统（EMR）等医院业务系统进行对接，基于平台实现院内数据共享和互联互通。</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★一体化设计</w:t>
      </w:r>
      <w:r>
        <w:rPr>
          <w:rFonts w:hint="eastAsia" w:ascii="宋体" w:hAnsi="宋体" w:eastAsia="宋体" w:cs="宋体"/>
          <w:color w:val="333333"/>
          <w:sz w:val="24"/>
          <w:szCs w:val="24"/>
          <w:shd w:val="clear" w:color="auto" w:fill="FFFFFF"/>
        </w:rPr>
        <w:br w:type="textWrapping"/>
      </w:r>
      <w:r>
        <w:rPr>
          <w:rFonts w:hint="eastAsia" w:ascii="宋体" w:hAnsi="宋体" w:eastAsia="宋体" w:cs="宋体"/>
          <w:color w:val="333333"/>
          <w:sz w:val="24"/>
          <w:szCs w:val="24"/>
          <w:shd w:val="clear" w:color="auto" w:fill="FFFFFF"/>
        </w:rPr>
        <w:t>病理全流程质控和信息管理系统为一体化设计的产品，整体采用C/S/S三层构架，使用一个数据交互服务端口，方便数据的监控，提高数据的安全性并能减少安全防范的成本，系统符合“高内聚、低耦合”的设计原理，具有高可用性、可维护性和可扩展性。</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安全性</w:t>
      </w:r>
      <w:r>
        <w:rPr>
          <w:rFonts w:hint="eastAsia" w:ascii="宋体" w:hAnsi="宋体" w:eastAsia="宋体" w:cs="宋体"/>
          <w:color w:val="333333"/>
          <w:sz w:val="24"/>
          <w:szCs w:val="24"/>
          <w:shd w:val="clear" w:color="auto" w:fill="FFFFFF"/>
        </w:rPr>
        <w:br w:type="textWrapping"/>
      </w:r>
      <w:r>
        <w:rPr>
          <w:rFonts w:hint="eastAsia" w:ascii="宋体" w:hAnsi="宋体" w:eastAsia="宋体" w:cs="宋体"/>
          <w:color w:val="333333"/>
          <w:sz w:val="24"/>
          <w:szCs w:val="24"/>
          <w:shd w:val="clear" w:color="auto" w:fill="FFFFFF"/>
        </w:rPr>
        <w:t>系统提供严格的备份方案及系统支持，以保证系统安全、持续、有效运行。系统具有灵活方便的权限管理机制，设定系统内部终端和访问者的权限，设定操作者多层级电子签名机制，防止数据删改和电子确认的漏洞，符合《电子签名法》和CA认证的要求。</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兼容性</w:t>
      </w:r>
      <w:r>
        <w:rPr>
          <w:rFonts w:hint="eastAsia" w:ascii="宋体" w:hAnsi="宋体" w:eastAsia="宋体" w:cs="宋体"/>
          <w:color w:val="333333"/>
          <w:sz w:val="24"/>
          <w:szCs w:val="24"/>
          <w:shd w:val="clear" w:color="auto" w:fill="FFFFFF"/>
        </w:rPr>
        <w:br w:type="textWrapping"/>
      </w:r>
      <w:r>
        <w:rPr>
          <w:rFonts w:hint="eastAsia" w:ascii="宋体" w:hAnsi="宋体" w:eastAsia="宋体" w:cs="宋体"/>
          <w:color w:val="333333"/>
          <w:sz w:val="24"/>
          <w:szCs w:val="24"/>
          <w:shd w:val="clear" w:color="auto" w:fill="FFFFFF"/>
        </w:rPr>
        <w:t>必须能够满足目前市面上以下主流扫描仪品牌都能够直接接入全流程病理信息系统：兼容滨松（日本）、3DHISTECH（匈牙利）、莱卡、罗氏、飞利浦、江丰、优纳、帝麦克斯、麦克奥迪、蔡司、舜宇等主流厂商设备格式；有助于后期开展人工智能以及区域病理建设，无需重复购买设备。</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数据迁移</w:t>
      </w:r>
      <w:r>
        <w:rPr>
          <w:rFonts w:hint="eastAsia" w:ascii="宋体" w:hAnsi="宋体" w:eastAsia="宋体" w:cs="宋体"/>
          <w:color w:val="333333"/>
          <w:sz w:val="24"/>
          <w:szCs w:val="24"/>
          <w:shd w:val="clear" w:color="auto" w:fill="FFFFFF"/>
        </w:rPr>
        <w:br w:type="textWrapping"/>
      </w:r>
      <w:r>
        <w:rPr>
          <w:rFonts w:hint="eastAsia" w:ascii="宋体" w:hAnsi="宋体" w:eastAsia="宋体" w:cs="宋体"/>
          <w:color w:val="333333"/>
          <w:sz w:val="24"/>
          <w:szCs w:val="24"/>
          <w:shd w:val="clear" w:color="auto" w:fill="FFFFFF"/>
        </w:rPr>
        <w:t>新系统在病理科正式运行后，中标人需将现有系统中的病理数据等主要资料进行转换，整体迁移到新系统中，方便病理科对旧病例的查询，并提供历史病理检查的自动提示，从而实现新系统的正式上线。</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2、</w:t>
      </w:r>
      <w:r>
        <w:rPr>
          <w:rFonts w:hint="eastAsia" w:ascii="宋体" w:hAnsi="宋体" w:eastAsia="宋体" w:cs="宋体"/>
          <w:b/>
          <w:sz w:val="24"/>
          <w:szCs w:val="24"/>
          <w:lang w:eastAsia="zh-CN"/>
        </w:rPr>
        <w:t>全数字病理科信息化平台</w:t>
      </w:r>
      <w:r>
        <w:rPr>
          <w:rFonts w:hint="eastAsia" w:ascii="宋体" w:hAnsi="宋体" w:eastAsia="宋体" w:cs="宋体"/>
          <w:b/>
          <w:sz w:val="24"/>
          <w:szCs w:val="24"/>
        </w:rPr>
        <w:t>系统</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接收工作站</w:t>
      </w:r>
    </w:p>
    <w:p>
      <w:pPr>
        <w:spacing w:line="360" w:lineRule="auto"/>
        <w:rPr>
          <w:rFonts w:hint="eastAsia" w:ascii="宋体" w:hAnsi="宋体" w:eastAsia="宋体" w:cs="宋体"/>
          <w:sz w:val="24"/>
          <w:szCs w:val="24"/>
        </w:rPr>
      </w:pPr>
      <w:r>
        <w:rPr>
          <w:rFonts w:hint="eastAsia" w:ascii="宋体" w:hAnsi="宋体" w:eastAsia="宋体" w:cs="宋体"/>
          <w:sz w:val="24"/>
          <w:szCs w:val="24"/>
        </w:rPr>
        <w:t>（1）支持手工录入和扫码（条形码或二维码）调取HIS系统的病人相关信息；</w:t>
      </w:r>
    </w:p>
    <w:p>
      <w:pPr>
        <w:spacing w:line="360" w:lineRule="auto"/>
        <w:rPr>
          <w:rFonts w:hint="eastAsia" w:ascii="宋体" w:hAnsi="宋体" w:eastAsia="宋体" w:cs="宋体"/>
          <w:sz w:val="24"/>
          <w:szCs w:val="24"/>
        </w:rPr>
      </w:pPr>
      <w:r>
        <w:rPr>
          <w:rFonts w:hint="eastAsia" w:ascii="宋体" w:hAnsi="宋体" w:eastAsia="宋体" w:cs="宋体"/>
          <w:sz w:val="24"/>
          <w:szCs w:val="24"/>
        </w:rPr>
        <w:t>（2）可根据用户自定义的病理号编码规则，自动生成病理号,保证病理号的连续性和唯一性，并支持手工调整；</w:t>
      </w:r>
    </w:p>
    <w:p>
      <w:pPr>
        <w:spacing w:line="360" w:lineRule="auto"/>
        <w:rPr>
          <w:rFonts w:hint="eastAsia" w:ascii="宋体" w:hAnsi="宋体" w:eastAsia="宋体" w:cs="宋体"/>
          <w:sz w:val="24"/>
          <w:szCs w:val="24"/>
        </w:rPr>
      </w:pPr>
      <w:r>
        <w:rPr>
          <w:rFonts w:hint="eastAsia" w:ascii="宋体" w:hAnsi="宋体" w:eastAsia="宋体" w:cs="宋体"/>
          <w:sz w:val="24"/>
          <w:szCs w:val="24"/>
        </w:rPr>
        <w:t>（3）记录不合格标本拒收原因，并生成统计报表；</w:t>
      </w:r>
    </w:p>
    <w:p>
      <w:pPr>
        <w:spacing w:line="360" w:lineRule="auto"/>
        <w:rPr>
          <w:rFonts w:hint="eastAsia" w:ascii="宋体" w:hAnsi="宋体" w:eastAsia="宋体" w:cs="宋体"/>
          <w:sz w:val="24"/>
          <w:szCs w:val="24"/>
        </w:rPr>
      </w:pPr>
      <w:r>
        <w:rPr>
          <w:rFonts w:hint="eastAsia" w:ascii="宋体" w:hAnsi="宋体" w:eastAsia="宋体" w:cs="宋体"/>
          <w:sz w:val="24"/>
          <w:szCs w:val="24"/>
        </w:rPr>
        <w:t>（4）记录送检标本的明细信息，包括标本名称、离体时间、固定时间、接收时间等；</w:t>
      </w:r>
    </w:p>
    <w:p>
      <w:pPr>
        <w:spacing w:line="360" w:lineRule="auto"/>
        <w:rPr>
          <w:rFonts w:hint="eastAsia" w:ascii="宋体" w:hAnsi="宋体" w:eastAsia="宋体" w:cs="宋体"/>
          <w:sz w:val="24"/>
          <w:szCs w:val="24"/>
        </w:rPr>
      </w:pPr>
      <w:r>
        <w:rPr>
          <w:rFonts w:hint="eastAsia" w:ascii="宋体" w:hAnsi="宋体" w:eastAsia="宋体" w:cs="宋体"/>
          <w:sz w:val="24"/>
          <w:szCs w:val="24"/>
        </w:rPr>
        <w:t>（5）支持纸质申请单拍照生成电子档案；</w:t>
      </w:r>
    </w:p>
    <w:p>
      <w:pPr>
        <w:spacing w:line="360" w:lineRule="auto"/>
        <w:rPr>
          <w:rFonts w:hint="eastAsia" w:ascii="宋体" w:hAnsi="宋体" w:eastAsia="宋体" w:cs="宋体"/>
          <w:sz w:val="24"/>
          <w:szCs w:val="24"/>
        </w:rPr>
      </w:pPr>
      <w:r>
        <w:rPr>
          <w:rFonts w:hint="eastAsia" w:ascii="宋体" w:hAnsi="宋体" w:eastAsia="宋体" w:cs="宋体"/>
          <w:sz w:val="24"/>
          <w:szCs w:val="24"/>
        </w:rPr>
        <w:t>（6）支持自定义查询、批量打印等；</w:t>
      </w:r>
    </w:p>
    <w:p>
      <w:pPr>
        <w:spacing w:line="360" w:lineRule="auto"/>
        <w:rPr>
          <w:rFonts w:hint="eastAsia" w:ascii="宋体" w:hAnsi="宋体" w:eastAsia="宋体" w:cs="宋体"/>
          <w:sz w:val="24"/>
          <w:szCs w:val="24"/>
        </w:rPr>
      </w:pPr>
      <w:r>
        <w:rPr>
          <w:rFonts w:hint="eastAsia" w:ascii="宋体" w:hAnsi="宋体" w:eastAsia="宋体" w:cs="宋体"/>
          <w:sz w:val="24"/>
          <w:szCs w:val="24"/>
        </w:rPr>
        <w:t>（7）可打印门诊病人回执，约定取报告的时间和地点（申请单标签）；</w:t>
      </w:r>
    </w:p>
    <w:p>
      <w:pPr>
        <w:spacing w:line="360" w:lineRule="auto"/>
        <w:rPr>
          <w:rFonts w:hint="eastAsia" w:ascii="宋体" w:hAnsi="宋体" w:eastAsia="宋体" w:cs="宋体"/>
          <w:sz w:val="24"/>
          <w:szCs w:val="24"/>
        </w:rPr>
      </w:pPr>
      <w:r>
        <w:rPr>
          <w:rFonts w:hint="eastAsia" w:ascii="宋体" w:hAnsi="宋体" w:eastAsia="宋体" w:cs="宋体"/>
          <w:sz w:val="24"/>
          <w:szCs w:val="24"/>
        </w:rPr>
        <w:t>（8）确认接收时保存已收的实际费用；</w:t>
      </w:r>
    </w:p>
    <w:p>
      <w:pPr>
        <w:spacing w:line="360" w:lineRule="auto"/>
        <w:rPr>
          <w:rFonts w:hint="eastAsia" w:ascii="宋体" w:hAnsi="宋体" w:eastAsia="宋体" w:cs="宋体"/>
          <w:sz w:val="24"/>
          <w:szCs w:val="24"/>
        </w:rPr>
      </w:pPr>
      <w:r>
        <w:rPr>
          <w:rFonts w:hint="eastAsia" w:ascii="宋体" w:hAnsi="宋体" w:eastAsia="宋体" w:cs="宋体"/>
          <w:sz w:val="24"/>
          <w:szCs w:val="24"/>
        </w:rPr>
        <w:t>（9）系统自动进行“同名检索”，自动提示“历次检查”以准确锁定该病人的历史检查；</w:t>
      </w:r>
    </w:p>
    <w:p>
      <w:pPr>
        <w:spacing w:line="360" w:lineRule="auto"/>
        <w:rPr>
          <w:rFonts w:hint="eastAsia" w:ascii="宋体" w:hAnsi="宋体" w:eastAsia="宋体" w:cs="宋体"/>
          <w:sz w:val="24"/>
          <w:szCs w:val="24"/>
        </w:rPr>
      </w:pPr>
      <w:r>
        <w:rPr>
          <w:rFonts w:hint="eastAsia" w:ascii="宋体" w:hAnsi="宋体" w:eastAsia="宋体" w:cs="宋体"/>
          <w:sz w:val="24"/>
          <w:szCs w:val="24"/>
        </w:rPr>
        <w:t>（10）作交接单（电子登记本）；</w:t>
      </w:r>
    </w:p>
    <w:p>
      <w:pPr>
        <w:spacing w:line="360" w:lineRule="auto"/>
        <w:rPr>
          <w:rFonts w:hint="eastAsia" w:ascii="宋体" w:hAnsi="宋体" w:eastAsia="宋体" w:cs="宋体"/>
          <w:sz w:val="24"/>
          <w:szCs w:val="24"/>
        </w:rPr>
      </w:pPr>
      <w:r>
        <w:rPr>
          <w:rFonts w:hint="eastAsia" w:ascii="宋体" w:hAnsi="宋体" w:eastAsia="宋体" w:cs="宋体"/>
          <w:sz w:val="24"/>
          <w:szCs w:val="24"/>
        </w:rPr>
        <w:t>（11）接收申请单后，可追加标本；</w:t>
      </w:r>
    </w:p>
    <w:p>
      <w:pPr>
        <w:spacing w:line="360" w:lineRule="auto"/>
        <w:rPr>
          <w:rFonts w:hint="eastAsia" w:ascii="宋体" w:hAnsi="宋体" w:eastAsia="宋体" w:cs="宋体"/>
          <w:sz w:val="24"/>
          <w:szCs w:val="24"/>
        </w:rPr>
      </w:pPr>
      <w:r>
        <w:rPr>
          <w:rFonts w:hint="eastAsia" w:ascii="宋体" w:hAnsi="宋体" w:eastAsia="宋体" w:cs="宋体"/>
          <w:sz w:val="24"/>
          <w:szCs w:val="24"/>
        </w:rPr>
        <w:t>▲（12）支持多个冰冻对应一个常规；（需提供软件截图证明）</w:t>
      </w:r>
    </w:p>
    <w:p>
      <w:pPr>
        <w:spacing w:line="360" w:lineRule="auto"/>
        <w:rPr>
          <w:rFonts w:hint="eastAsia" w:ascii="宋体" w:hAnsi="宋体" w:eastAsia="宋体" w:cs="宋体"/>
          <w:sz w:val="24"/>
          <w:szCs w:val="24"/>
        </w:rPr>
      </w:pPr>
      <w:r>
        <w:rPr>
          <w:rFonts w:hint="eastAsia" w:ascii="宋体" w:hAnsi="宋体" w:eastAsia="宋体" w:cs="宋体"/>
          <w:sz w:val="24"/>
          <w:szCs w:val="24"/>
        </w:rPr>
        <w:t>（13）增加外院会诊申请单打印。</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描写工作站</w:t>
      </w:r>
    </w:p>
    <w:p>
      <w:pPr>
        <w:spacing w:line="360" w:lineRule="auto"/>
        <w:rPr>
          <w:rFonts w:hint="eastAsia" w:ascii="宋体" w:hAnsi="宋体" w:eastAsia="宋体" w:cs="宋体"/>
          <w:sz w:val="24"/>
          <w:szCs w:val="24"/>
        </w:rPr>
      </w:pPr>
      <w:r>
        <w:rPr>
          <w:rFonts w:hint="eastAsia" w:ascii="宋体" w:hAnsi="宋体" w:eastAsia="宋体" w:cs="宋体"/>
          <w:sz w:val="24"/>
          <w:szCs w:val="24"/>
        </w:rPr>
        <w:t>（1）自动加载取材任务相关信息；</w:t>
      </w:r>
    </w:p>
    <w:p>
      <w:pPr>
        <w:spacing w:line="360" w:lineRule="auto"/>
        <w:rPr>
          <w:rFonts w:hint="eastAsia" w:ascii="宋体" w:hAnsi="宋体" w:eastAsia="宋体" w:cs="宋体"/>
          <w:sz w:val="24"/>
          <w:szCs w:val="24"/>
        </w:rPr>
      </w:pPr>
      <w:r>
        <w:rPr>
          <w:rFonts w:hint="eastAsia" w:ascii="宋体" w:hAnsi="宋体" w:eastAsia="宋体" w:cs="宋体"/>
          <w:sz w:val="24"/>
          <w:szCs w:val="24"/>
        </w:rPr>
        <w:t>（2）支持大体标本摄像，支持自定义打印包埋盒；</w:t>
      </w:r>
    </w:p>
    <w:p>
      <w:pPr>
        <w:spacing w:line="360" w:lineRule="auto"/>
        <w:rPr>
          <w:rFonts w:hint="eastAsia" w:ascii="宋体" w:hAnsi="宋体" w:eastAsia="宋体" w:cs="宋体"/>
          <w:sz w:val="24"/>
          <w:szCs w:val="24"/>
        </w:rPr>
      </w:pPr>
      <w:r>
        <w:rPr>
          <w:rFonts w:hint="eastAsia" w:ascii="宋体" w:hAnsi="宋体" w:eastAsia="宋体" w:cs="宋体"/>
          <w:sz w:val="24"/>
          <w:szCs w:val="24"/>
        </w:rPr>
        <w:t>（3）自动加载病例相关信息，提供肉眼所见模板并支持当前页面直接右键新增或修改；</w:t>
      </w:r>
    </w:p>
    <w:p>
      <w:pPr>
        <w:spacing w:line="360" w:lineRule="auto"/>
        <w:rPr>
          <w:rFonts w:hint="eastAsia" w:ascii="宋体" w:hAnsi="宋体" w:eastAsia="宋体" w:cs="宋体"/>
          <w:sz w:val="24"/>
          <w:szCs w:val="24"/>
        </w:rPr>
      </w:pPr>
      <w:r>
        <w:rPr>
          <w:rFonts w:hint="eastAsia" w:ascii="宋体" w:hAnsi="宋体" w:eastAsia="宋体" w:cs="宋体"/>
          <w:sz w:val="24"/>
          <w:szCs w:val="24"/>
        </w:rPr>
        <w:t>▲（4）取材时，还可勾选合片、传染源；（需提供软件截图证明）</w:t>
      </w:r>
    </w:p>
    <w:p>
      <w:pPr>
        <w:spacing w:line="360" w:lineRule="auto"/>
        <w:rPr>
          <w:rFonts w:hint="eastAsia" w:ascii="宋体" w:hAnsi="宋体" w:eastAsia="宋体" w:cs="宋体"/>
          <w:sz w:val="24"/>
          <w:szCs w:val="24"/>
        </w:rPr>
      </w:pPr>
      <w:r>
        <w:rPr>
          <w:rFonts w:hint="eastAsia" w:ascii="宋体" w:hAnsi="宋体" w:eastAsia="宋体" w:cs="宋体"/>
          <w:sz w:val="24"/>
          <w:szCs w:val="24"/>
        </w:rPr>
        <w:t>（5）支持撤销已确认完成的取材任务；</w:t>
      </w:r>
    </w:p>
    <w:p>
      <w:pPr>
        <w:spacing w:line="360" w:lineRule="auto"/>
        <w:rPr>
          <w:rFonts w:hint="eastAsia" w:ascii="宋体" w:hAnsi="宋体" w:eastAsia="宋体" w:cs="宋体"/>
          <w:sz w:val="24"/>
          <w:szCs w:val="24"/>
        </w:rPr>
      </w:pPr>
      <w:r>
        <w:rPr>
          <w:rFonts w:hint="eastAsia" w:ascii="宋体" w:hAnsi="宋体" w:eastAsia="宋体" w:cs="宋体"/>
          <w:sz w:val="24"/>
          <w:szCs w:val="24"/>
        </w:rPr>
        <w:t>（6）小组织、皮肤、粘膜活检等取材标本的特殊标记，提醒包埋、切片技师注意；</w:t>
      </w:r>
    </w:p>
    <w:p>
      <w:pPr>
        <w:spacing w:line="360" w:lineRule="auto"/>
        <w:rPr>
          <w:rFonts w:hint="eastAsia" w:ascii="宋体" w:hAnsi="宋体" w:eastAsia="宋体" w:cs="宋体"/>
          <w:sz w:val="24"/>
          <w:szCs w:val="24"/>
        </w:rPr>
      </w:pPr>
      <w:r>
        <w:rPr>
          <w:rFonts w:hint="eastAsia" w:ascii="宋体" w:hAnsi="宋体" w:eastAsia="宋体" w:cs="宋体"/>
          <w:sz w:val="24"/>
          <w:szCs w:val="24"/>
        </w:rPr>
        <w:t>（7）取材确认后，还可更</w:t>
      </w:r>
      <w:r>
        <w:rPr>
          <w:rFonts w:hint="eastAsia" w:ascii="宋体" w:hAnsi="宋体" w:eastAsia="宋体" w:cs="宋体"/>
          <w:sz w:val="24"/>
          <w:szCs w:val="24"/>
          <w:lang w:eastAsia="zh-CN"/>
        </w:rPr>
        <w:t>改大</w:t>
      </w:r>
      <w:r>
        <w:rPr>
          <w:rFonts w:hint="eastAsia" w:ascii="宋体" w:hAnsi="宋体" w:eastAsia="宋体" w:cs="宋体"/>
          <w:sz w:val="24"/>
          <w:szCs w:val="24"/>
        </w:rPr>
        <w:t>体描述及补采大体图像；</w:t>
      </w:r>
    </w:p>
    <w:p>
      <w:pPr>
        <w:spacing w:line="360" w:lineRule="auto"/>
        <w:rPr>
          <w:rFonts w:hint="eastAsia" w:ascii="宋体" w:hAnsi="宋体" w:eastAsia="宋体" w:cs="宋体"/>
          <w:sz w:val="24"/>
          <w:szCs w:val="24"/>
        </w:rPr>
      </w:pPr>
      <w:r>
        <w:rPr>
          <w:rFonts w:hint="eastAsia" w:ascii="宋体" w:hAnsi="宋体" w:eastAsia="宋体" w:cs="宋体"/>
          <w:sz w:val="24"/>
          <w:szCs w:val="24"/>
        </w:rPr>
        <w:t>（8）具有录音及录音播放功能；</w:t>
      </w:r>
    </w:p>
    <w:p>
      <w:pPr>
        <w:spacing w:line="360" w:lineRule="auto"/>
        <w:rPr>
          <w:rFonts w:hint="eastAsia" w:ascii="宋体" w:hAnsi="宋体" w:eastAsia="宋体" w:cs="宋体"/>
          <w:sz w:val="24"/>
          <w:szCs w:val="24"/>
        </w:rPr>
      </w:pPr>
      <w:r>
        <w:rPr>
          <w:rFonts w:hint="eastAsia" w:ascii="宋体" w:hAnsi="宋体" w:eastAsia="宋体" w:cs="宋体"/>
          <w:sz w:val="24"/>
          <w:szCs w:val="24"/>
        </w:rPr>
        <w:t>（9）提供包埋盒批量人工确认功能，减少取材医生手动扫描工作量；</w:t>
      </w:r>
    </w:p>
    <w:p>
      <w:pPr>
        <w:spacing w:line="360" w:lineRule="auto"/>
        <w:rPr>
          <w:rFonts w:hint="eastAsia" w:ascii="宋体" w:hAnsi="宋体" w:eastAsia="宋体" w:cs="宋体"/>
          <w:sz w:val="24"/>
          <w:szCs w:val="24"/>
        </w:rPr>
      </w:pPr>
      <w:r>
        <w:rPr>
          <w:rFonts w:hint="eastAsia" w:ascii="宋体" w:hAnsi="宋体" w:eastAsia="宋体" w:cs="宋体"/>
          <w:sz w:val="24"/>
          <w:szCs w:val="24"/>
        </w:rPr>
        <w:t>（10）用户可自由配置包埋盒是否需要打印材块标记，并可配置材块标记默认值；</w:t>
      </w:r>
    </w:p>
    <w:p>
      <w:pPr>
        <w:spacing w:line="360" w:lineRule="auto"/>
        <w:rPr>
          <w:rFonts w:hint="eastAsia" w:ascii="宋体" w:hAnsi="宋体" w:eastAsia="宋体" w:cs="宋体"/>
          <w:sz w:val="24"/>
          <w:szCs w:val="24"/>
        </w:rPr>
      </w:pPr>
      <w:r>
        <w:rPr>
          <w:rFonts w:hint="eastAsia" w:ascii="宋体" w:hAnsi="宋体" w:eastAsia="宋体" w:cs="宋体"/>
          <w:sz w:val="24"/>
          <w:szCs w:val="24"/>
        </w:rPr>
        <w:t>（11）支持描写界面和取材终端同步显示摄像头画面；</w:t>
      </w:r>
    </w:p>
    <w:p>
      <w:pPr>
        <w:spacing w:line="360" w:lineRule="auto"/>
        <w:rPr>
          <w:rFonts w:hint="eastAsia" w:ascii="宋体" w:hAnsi="宋体" w:eastAsia="宋体" w:cs="宋体"/>
          <w:sz w:val="24"/>
          <w:szCs w:val="24"/>
        </w:rPr>
      </w:pPr>
      <w:r>
        <w:rPr>
          <w:rFonts w:hint="eastAsia" w:ascii="宋体" w:hAnsi="宋体" w:eastAsia="宋体" w:cs="宋体"/>
          <w:sz w:val="24"/>
          <w:szCs w:val="24"/>
        </w:rPr>
        <w:t>（12）支持扫描申请单二维码或标本二维码直接进入对应病例的描写详情页面；</w:t>
      </w:r>
    </w:p>
    <w:p>
      <w:pPr>
        <w:spacing w:line="360" w:lineRule="auto"/>
        <w:rPr>
          <w:rFonts w:hint="eastAsia" w:ascii="宋体" w:hAnsi="宋体" w:eastAsia="宋体" w:cs="宋体"/>
          <w:sz w:val="24"/>
          <w:szCs w:val="24"/>
        </w:rPr>
      </w:pPr>
      <w:r>
        <w:rPr>
          <w:rFonts w:hint="eastAsia" w:ascii="宋体" w:hAnsi="宋体" w:eastAsia="宋体" w:cs="宋体"/>
          <w:sz w:val="24"/>
          <w:szCs w:val="24"/>
        </w:rPr>
        <w:t>（13）支持用户自定义配置冰冻流程是否使用常规病理号打印蜡块；</w:t>
      </w:r>
    </w:p>
    <w:p>
      <w:pPr>
        <w:spacing w:line="360" w:lineRule="auto"/>
        <w:rPr>
          <w:rFonts w:hint="eastAsia" w:ascii="宋体" w:hAnsi="宋体" w:eastAsia="宋体" w:cs="宋体"/>
          <w:sz w:val="24"/>
          <w:szCs w:val="24"/>
        </w:rPr>
      </w:pPr>
      <w:r>
        <w:rPr>
          <w:rFonts w:hint="eastAsia" w:ascii="宋体" w:hAnsi="宋体" w:eastAsia="宋体" w:cs="宋体"/>
          <w:sz w:val="24"/>
          <w:szCs w:val="24"/>
        </w:rPr>
        <w:t>（14）冰冻取材确认完成，冰冻的常规自动确认完成；</w:t>
      </w:r>
    </w:p>
    <w:p>
      <w:pPr>
        <w:spacing w:line="360" w:lineRule="auto"/>
        <w:rPr>
          <w:rFonts w:hint="eastAsia" w:ascii="宋体" w:hAnsi="宋体" w:eastAsia="宋体" w:cs="宋体"/>
          <w:sz w:val="24"/>
          <w:szCs w:val="24"/>
        </w:rPr>
      </w:pPr>
      <w:r>
        <w:rPr>
          <w:rFonts w:hint="eastAsia" w:ascii="宋体" w:hAnsi="宋体" w:eastAsia="宋体" w:cs="宋体"/>
          <w:sz w:val="24"/>
          <w:szCs w:val="24"/>
        </w:rPr>
        <w:t>（15）支持批量预打包埋盒；</w:t>
      </w:r>
    </w:p>
    <w:p>
      <w:pPr>
        <w:spacing w:line="360" w:lineRule="auto"/>
        <w:rPr>
          <w:rFonts w:hint="eastAsia" w:ascii="宋体" w:hAnsi="宋体" w:eastAsia="宋体" w:cs="宋体"/>
          <w:sz w:val="24"/>
          <w:szCs w:val="24"/>
        </w:rPr>
      </w:pPr>
      <w:r>
        <w:rPr>
          <w:rFonts w:hint="eastAsia" w:ascii="宋体" w:hAnsi="宋体" w:eastAsia="宋体" w:cs="宋体"/>
          <w:sz w:val="24"/>
          <w:szCs w:val="24"/>
        </w:rPr>
        <w:t>（16）冰冻补取医嘱，可支持走冰冻流程；</w:t>
      </w:r>
    </w:p>
    <w:p>
      <w:pPr>
        <w:spacing w:line="360" w:lineRule="auto"/>
        <w:rPr>
          <w:rFonts w:hint="eastAsia" w:ascii="宋体" w:hAnsi="宋体" w:eastAsia="宋体" w:cs="宋体"/>
          <w:sz w:val="24"/>
          <w:szCs w:val="24"/>
        </w:rPr>
      </w:pPr>
      <w:r>
        <w:rPr>
          <w:rFonts w:hint="eastAsia" w:ascii="宋体" w:hAnsi="宋体" w:eastAsia="宋体" w:cs="宋体"/>
          <w:sz w:val="24"/>
          <w:szCs w:val="24"/>
        </w:rPr>
        <w:t>（17）可自由配置描写是否需要填写材块单位；</w:t>
      </w:r>
    </w:p>
    <w:p>
      <w:pPr>
        <w:spacing w:line="360" w:lineRule="auto"/>
        <w:rPr>
          <w:rFonts w:hint="eastAsia" w:ascii="宋体" w:hAnsi="宋体" w:eastAsia="宋体" w:cs="宋体"/>
          <w:sz w:val="24"/>
          <w:szCs w:val="24"/>
        </w:rPr>
      </w:pPr>
      <w:r>
        <w:rPr>
          <w:rFonts w:hint="eastAsia" w:ascii="宋体" w:hAnsi="宋体" w:eastAsia="宋体" w:cs="宋体"/>
          <w:sz w:val="24"/>
          <w:szCs w:val="24"/>
        </w:rPr>
        <w:t>（18）用户可自由配置是否需要打印包埋盒备注；</w:t>
      </w:r>
    </w:p>
    <w:p>
      <w:pPr>
        <w:spacing w:line="360" w:lineRule="auto"/>
        <w:rPr>
          <w:rFonts w:hint="eastAsia" w:ascii="宋体" w:hAnsi="宋体" w:eastAsia="宋体" w:cs="宋体"/>
          <w:sz w:val="24"/>
          <w:szCs w:val="24"/>
        </w:rPr>
      </w:pPr>
      <w:r>
        <w:rPr>
          <w:rFonts w:hint="eastAsia" w:ascii="宋体" w:hAnsi="宋体" w:eastAsia="宋体" w:cs="宋体"/>
          <w:sz w:val="24"/>
          <w:szCs w:val="24"/>
        </w:rPr>
        <w:t>（19）可选择包埋盒打号机的打号通道，以用于对不同标本类型的标本进行不同包埋盒颜色的区分；(需包埋盒打号机支持相应功能)</w:t>
      </w:r>
    </w:p>
    <w:p>
      <w:pPr>
        <w:spacing w:line="360" w:lineRule="auto"/>
        <w:rPr>
          <w:rFonts w:hint="eastAsia" w:ascii="宋体" w:hAnsi="宋体" w:eastAsia="宋体" w:cs="宋体"/>
          <w:sz w:val="24"/>
          <w:szCs w:val="24"/>
        </w:rPr>
      </w:pPr>
      <w:r>
        <w:rPr>
          <w:rFonts w:hint="eastAsia" w:ascii="宋体" w:hAnsi="宋体" w:eastAsia="宋体" w:cs="宋体"/>
          <w:sz w:val="24"/>
          <w:szCs w:val="24"/>
        </w:rPr>
        <w:t>▲（20）根据标本名称提供取材专用模板；（需提供软件截图证明）</w:t>
      </w:r>
    </w:p>
    <w:p>
      <w:pPr>
        <w:spacing w:line="360" w:lineRule="auto"/>
        <w:rPr>
          <w:rFonts w:hint="eastAsia" w:ascii="宋体" w:hAnsi="宋体" w:eastAsia="宋体" w:cs="宋体"/>
          <w:sz w:val="24"/>
          <w:szCs w:val="24"/>
        </w:rPr>
      </w:pPr>
      <w:r>
        <w:rPr>
          <w:rFonts w:hint="eastAsia" w:ascii="宋体" w:hAnsi="宋体" w:eastAsia="宋体" w:cs="宋体"/>
          <w:sz w:val="24"/>
          <w:szCs w:val="24"/>
        </w:rPr>
        <w:t>（21）可对已确认取材完成的病例，进行追加蜡块。</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取材工作站</w:t>
      </w:r>
    </w:p>
    <w:p>
      <w:pPr>
        <w:spacing w:line="360" w:lineRule="auto"/>
        <w:rPr>
          <w:rFonts w:hint="eastAsia" w:ascii="宋体" w:hAnsi="宋体" w:eastAsia="宋体" w:cs="宋体"/>
          <w:sz w:val="24"/>
          <w:szCs w:val="24"/>
        </w:rPr>
      </w:pPr>
      <w:r>
        <w:rPr>
          <w:rFonts w:hint="eastAsia" w:ascii="宋体" w:hAnsi="宋体" w:eastAsia="宋体" w:cs="宋体"/>
          <w:sz w:val="24"/>
          <w:szCs w:val="24"/>
        </w:rPr>
        <w:t>（1）支持扫描标本容器上的二维码，自动提取相关信息；</w:t>
      </w:r>
    </w:p>
    <w:p>
      <w:pPr>
        <w:spacing w:line="360" w:lineRule="auto"/>
        <w:rPr>
          <w:rFonts w:hint="eastAsia" w:ascii="宋体" w:hAnsi="宋体" w:eastAsia="宋体" w:cs="宋体"/>
          <w:sz w:val="24"/>
          <w:szCs w:val="24"/>
        </w:rPr>
      </w:pPr>
      <w:r>
        <w:rPr>
          <w:rFonts w:hint="eastAsia" w:ascii="宋体" w:hAnsi="宋体" w:eastAsia="宋体" w:cs="宋体"/>
          <w:sz w:val="24"/>
          <w:szCs w:val="24"/>
        </w:rPr>
        <w:t>▲（2）根据病理标本名称提供对应的取材规范（含图片），供取材医生随时参考； （需提供软件截图证明）</w:t>
      </w:r>
    </w:p>
    <w:p>
      <w:pPr>
        <w:spacing w:line="360" w:lineRule="auto"/>
        <w:rPr>
          <w:rFonts w:hint="eastAsia" w:ascii="宋体" w:hAnsi="宋体" w:eastAsia="宋体" w:cs="宋体"/>
          <w:sz w:val="24"/>
          <w:szCs w:val="24"/>
        </w:rPr>
      </w:pPr>
      <w:r>
        <w:rPr>
          <w:rFonts w:hint="eastAsia" w:ascii="宋体" w:hAnsi="宋体" w:eastAsia="宋体" w:cs="宋体"/>
          <w:sz w:val="24"/>
          <w:szCs w:val="24"/>
        </w:rPr>
        <w:t>（3）扫描蜡块时若当前蜡块和标本对应的病人不一致，系统会提示“该蜡块不属于当前标本”防止蜡块和标本对应错误。</w:t>
      </w:r>
    </w:p>
    <w:p>
      <w:pPr>
        <w:spacing w:line="360" w:lineRule="auto"/>
        <w:rPr>
          <w:rFonts w:hint="eastAsia" w:ascii="宋体" w:hAnsi="宋体" w:eastAsia="宋体" w:cs="宋体"/>
          <w:sz w:val="24"/>
          <w:szCs w:val="24"/>
        </w:rPr>
      </w:pPr>
      <w:r>
        <w:rPr>
          <w:rFonts w:hint="eastAsia" w:ascii="宋体" w:hAnsi="宋体" w:eastAsia="宋体" w:cs="宋体"/>
          <w:sz w:val="24"/>
          <w:szCs w:val="24"/>
        </w:rPr>
        <w:t>（4）可通过扫描脱水篮上的二维码标签获取脱水篮信息（当前脱水篮已放了多少蜡块，是否已满）,当脱水篮已满时会弹出提示框提示脱水篮已满；</w:t>
      </w:r>
    </w:p>
    <w:p>
      <w:pPr>
        <w:spacing w:line="360" w:lineRule="auto"/>
        <w:rPr>
          <w:rFonts w:hint="eastAsia" w:ascii="宋体" w:hAnsi="宋体" w:eastAsia="宋体" w:cs="宋体"/>
          <w:sz w:val="24"/>
          <w:szCs w:val="24"/>
        </w:rPr>
      </w:pPr>
      <w:r>
        <w:rPr>
          <w:rFonts w:hint="eastAsia" w:ascii="宋体" w:hAnsi="宋体" w:eastAsia="宋体" w:cs="宋体"/>
          <w:sz w:val="24"/>
          <w:szCs w:val="24"/>
        </w:rPr>
        <w:t>（5）可实时同步显示描写界面的摄像头图像；</w:t>
      </w:r>
    </w:p>
    <w:p>
      <w:pPr>
        <w:spacing w:line="360" w:lineRule="auto"/>
        <w:rPr>
          <w:rFonts w:hint="eastAsia" w:ascii="宋体" w:hAnsi="宋体" w:eastAsia="宋体" w:cs="宋体"/>
          <w:sz w:val="24"/>
          <w:szCs w:val="24"/>
        </w:rPr>
      </w:pPr>
      <w:r>
        <w:rPr>
          <w:rFonts w:hint="eastAsia" w:ascii="宋体" w:hAnsi="宋体" w:eastAsia="宋体" w:cs="宋体"/>
          <w:sz w:val="24"/>
          <w:szCs w:val="24"/>
        </w:rPr>
        <w:t>（6）系统扫描包埋盒二维码时，会对未扫描脱水蓝进行语音播报提示。</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包埋/切片/医嘱工作站</w:t>
      </w:r>
    </w:p>
    <w:p>
      <w:pPr>
        <w:spacing w:line="360" w:lineRule="auto"/>
        <w:rPr>
          <w:rFonts w:hint="eastAsia" w:ascii="宋体" w:hAnsi="宋体" w:eastAsia="宋体" w:cs="宋体"/>
          <w:sz w:val="24"/>
          <w:szCs w:val="24"/>
        </w:rPr>
      </w:pPr>
      <w:r>
        <w:rPr>
          <w:rFonts w:hint="eastAsia" w:ascii="宋体" w:hAnsi="宋体" w:eastAsia="宋体" w:cs="宋体"/>
          <w:sz w:val="24"/>
          <w:szCs w:val="24"/>
        </w:rPr>
        <w:t>（1）系统自动显示待包埋任务列表，供技术员在包埋时进行核对；</w:t>
      </w:r>
    </w:p>
    <w:p>
      <w:pPr>
        <w:spacing w:line="360" w:lineRule="auto"/>
        <w:rPr>
          <w:rFonts w:hint="eastAsia" w:ascii="宋体" w:hAnsi="宋体" w:eastAsia="宋体" w:cs="宋体"/>
          <w:sz w:val="24"/>
          <w:szCs w:val="24"/>
        </w:rPr>
      </w:pPr>
      <w:r>
        <w:rPr>
          <w:rFonts w:hint="eastAsia" w:ascii="宋体" w:hAnsi="宋体" w:eastAsia="宋体" w:cs="宋体"/>
          <w:sz w:val="24"/>
          <w:szCs w:val="24"/>
        </w:rPr>
        <w:t>（2）扫描包埋盒上二维码，确认包埋；</w:t>
      </w:r>
    </w:p>
    <w:p>
      <w:pPr>
        <w:spacing w:line="360" w:lineRule="auto"/>
        <w:rPr>
          <w:rFonts w:hint="eastAsia" w:ascii="宋体" w:hAnsi="宋体" w:eastAsia="宋体" w:cs="宋体"/>
          <w:sz w:val="24"/>
          <w:szCs w:val="24"/>
        </w:rPr>
      </w:pPr>
      <w:r>
        <w:rPr>
          <w:rFonts w:hint="eastAsia" w:ascii="宋体" w:hAnsi="宋体" w:eastAsia="宋体" w:cs="宋体"/>
          <w:sz w:val="24"/>
          <w:szCs w:val="24"/>
        </w:rPr>
        <w:t>（3）提醒特殊标本（小组织、活检组织、皮肤、粘膜等）的包埋注意事项;</w:t>
      </w:r>
    </w:p>
    <w:p>
      <w:pPr>
        <w:spacing w:line="360" w:lineRule="auto"/>
        <w:rPr>
          <w:rFonts w:hint="eastAsia" w:ascii="宋体" w:hAnsi="宋体" w:eastAsia="宋体" w:cs="宋体"/>
          <w:sz w:val="24"/>
          <w:szCs w:val="24"/>
        </w:rPr>
      </w:pPr>
      <w:r>
        <w:rPr>
          <w:rFonts w:hint="eastAsia" w:ascii="宋体" w:hAnsi="宋体" w:eastAsia="宋体" w:cs="宋体"/>
          <w:sz w:val="24"/>
          <w:szCs w:val="24"/>
        </w:rPr>
        <w:t>（4）提供对应标本的取材描述，供包埋技术员查看。</w:t>
      </w:r>
    </w:p>
    <w:p>
      <w:pPr>
        <w:spacing w:line="360" w:lineRule="auto"/>
        <w:rPr>
          <w:rFonts w:hint="eastAsia" w:ascii="宋体" w:hAnsi="宋体" w:eastAsia="宋体" w:cs="宋体"/>
          <w:sz w:val="24"/>
          <w:szCs w:val="24"/>
        </w:rPr>
      </w:pPr>
      <w:r>
        <w:rPr>
          <w:rFonts w:hint="eastAsia" w:ascii="宋体" w:hAnsi="宋体" w:eastAsia="宋体" w:cs="宋体"/>
          <w:sz w:val="24"/>
          <w:szCs w:val="24"/>
        </w:rPr>
        <w:t>（5）记录“有线头”等各类取材异常情况，供质控评价和统计；</w:t>
      </w:r>
    </w:p>
    <w:p>
      <w:pPr>
        <w:spacing w:line="360" w:lineRule="auto"/>
        <w:rPr>
          <w:rFonts w:hint="eastAsia" w:ascii="宋体" w:hAnsi="宋体" w:eastAsia="宋体" w:cs="宋体"/>
          <w:sz w:val="24"/>
          <w:szCs w:val="24"/>
        </w:rPr>
      </w:pPr>
      <w:r>
        <w:rPr>
          <w:rFonts w:hint="eastAsia" w:ascii="宋体" w:hAnsi="宋体" w:eastAsia="宋体" w:cs="宋体"/>
          <w:sz w:val="24"/>
          <w:szCs w:val="24"/>
        </w:rPr>
        <w:t>（6）记录包埋环节技术员工作量统计信息；</w:t>
      </w:r>
    </w:p>
    <w:p>
      <w:pPr>
        <w:spacing w:line="360" w:lineRule="auto"/>
        <w:rPr>
          <w:rFonts w:hint="eastAsia" w:ascii="宋体" w:hAnsi="宋体" w:eastAsia="宋体" w:cs="宋体"/>
          <w:sz w:val="24"/>
          <w:szCs w:val="24"/>
        </w:rPr>
      </w:pPr>
      <w:r>
        <w:rPr>
          <w:rFonts w:hint="eastAsia" w:ascii="宋体" w:hAnsi="宋体" w:eastAsia="宋体" w:cs="宋体"/>
          <w:sz w:val="24"/>
          <w:szCs w:val="24"/>
        </w:rPr>
        <w:t>(7）提供特殊情况下手动确认功能，可批量确认；</w:t>
      </w:r>
    </w:p>
    <w:p>
      <w:pPr>
        <w:spacing w:line="360" w:lineRule="auto"/>
        <w:rPr>
          <w:rFonts w:hint="eastAsia" w:ascii="宋体" w:hAnsi="宋体" w:eastAsia="宋体" w:cs="宋体"/>
          <w:sz w:val="24"/>
          <w:szCs w:val="24"/>
        </w:rPr>
      </w:pPr>
      <w:r>
        <w:rPr>
          <w:rFonts w:hint="eastAsia" w:ascii="宋体" w:hAnsi="宋体" w:eastAsia="宋体" w:cs="宋体"/>
          <w:sz w:val="24"/>
          <w:szCs w:val="24"/>
        </w:rPr>
        <w:t>（8）若包埋盒包埋失败，会自动判断失败原因并弹出提示框提示；</w:t>
      </w:r>
    </w:p>
    <w:p>
      <w:pPr>
        <w:spacing w:line="360" w:lineRule="auto"/>
        <w:rPr>
          <w:rFonts w:hint="eastAsia" w:ascii="宋体" w:hAnsi="宋体" w:eastAsia="宋体" w:cs="宋体"/>
          <w:sz w:val="24"/>
          <w:szCs w:val="24"/>
        </w:rPr>
      </w:pPr>
      <w:r>
        <w:rPr>
          <w:rFonts w:hint="eastAsia" w:ascii="宋体" w:hAnsi="宋体" w:eastAsia="宋体" w:cs="宋体"/>
          <w:sz w:val="24"/>
          <w:szCs w:val="24"/>
        </w:rPr>
        <w:t>（9）扫描包埋盒上二维码，若包埋盒材块数大于1时可语音提示。</w:t>
      </w:r>
    </w:p>
    <w:p>
      <w:pPr>
        <w:spacing w:line="360" w:lineRule="auto"/>
        <w:rPr>
          <w:rFonts w:hint="eastAsia" w:ascii="宋体" w:hAnsi="宋体" w:eastAsia="宋体" w:cs="宋体"/>
          <w:sz w:val="24"/>
          <w:szCs w:val="24"/>
        </w:rPr>
      </w:pPr>
      <w:r>
        <w:rPr>
          <w:rFonts w:hint="eastAsia" w:ascii="宋体" w:hAnsi="宋体" w:eastAsia="宋体" w:cs="宋体"/>
          <w:sz w:val="24"/>
          <w:szCs w:val="24"/>
        </w:rPr>
        <w:t>▲（10）系统扫描包埋盒二维码时，会对已包埋的包埋盒进行语音播报提示。</w:t>
      </w:r>
    </w:p>
    <w:p>
      <w:pPr>
        <w:spacing w:line="360" w:lineRule="auto"/>
        <w:rPr>
          <w:rFonts w:hint="eastAsia" w:ascii="宋体" w:hAnsi="宋体" w:eastAsia="宋体" w:cs="宋体"/>
          <w:sz w:val="24"/>
          <w:szCs w:val="24"/>
        </w:rPr>
      </w:pPr>
      <w:r>
        <w:rPr>
          <w:rFonts w:hint="eastAsia" w:ascii="宋体" w:hAnsi="宋体" w:eastAsia="宋体" w:cs="宋体"/>
          <w:sz w:val="24"/>
          <w:szCs w:val="24"/>
        </w:rPr>
        <w:t>（11）系统自动显示待切片任务列表；</w:t>
      </w:r>
    </w:p>
    <w:p>
      <w:pPr>
        <w:spacing w:line="360" w:lineRule="auto"/>
        <w:rPr>
          <w:rFonts w:hint="eastAsia" w:ascii="宋体" w:hAnsi="宋体" w:eastAsia="宋体" w:cs="宋体"/>
          <w:sz w:val="24"/>
          <w:szCs w:val="24"/>
        </w:rPr>
      </w:pPr>
      <w:r>
        <w:rPr>
          <w:rFonts w:hint="eastAsia" w:ascii="宋体" w:hAnsi="宋体" w:eastAsia="宋体" w:cs="宋体"/>
          <w:sz w:val="24"/>
          <w:szCs w:val="24"/>
        </w:rPr>
        <w:t>（12）扫描包埋盒二维码自动显示标本取材信息，校对标本并自动打印玻片标签；</w:t>
      </w:r>
    </w:p>
    <w:p>
      <w:pPr>
        <w:spacing w:line="360" w:lineRule="auto"/>
        <w:rPr>
          <w:rFonts w:hint="eastAsia" w:ascii="宋体" w:hAnsi="宋体" w:eastAsia="宋体" w:cs="宋体"/>
          <w:sz w:val="24"/>
          <w:szCs w:val="24"/>
        </w:rPr>
      </w:pPr>
      <w:r>
        <w:rPr>
          <w:rFonts w:hint="eastAsia" w:ascii="宋体" w:hAnsi="宋体" w:eastAsia="宋体" w:cs="宋体"/>
          <w:sz w:val="24"/>
          <w:szCs w:val="24"/>
        </w:rPr>
        <w:t>▲（13）显示重切、深切等医嘱提示；</w:t>
      </w:r>
    </w:p>
    <w:p>
      <w:pPr>
        <w:spacing w:line="360" w:lineRule="auto"/>
        <w:rPr>
          <w:rFonts w:hint="eastAsia" w:ascii="宋体" w:hAnsi="宋体" w:eastAsia="宋体" w:cs="宋体"/>
          <w:sz w:val="24"/>
          <w:szCs w:val="24"/>
        </w:rPr>
      </w:pPr>
      <w:r>
        <w:rPr>
          <w:rFonts w:hint="eastAsia" w:ascii="宋体" w:hAnsi="宋体" w:eastAsia="宋体" w:cs="宋体"/>
          <w:sz w:val="24"/>
          <w:szCs w:val="24"/>
        </w:rPr>
        <w:t>（14）支持重新打印标签；</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▲（15）支持多蜡块的合片、分片； </w:t>
      </w:r>
    </w:p>
    <w:p>
      <w:pPr>
        <w:spacing w:line="360" w:lineRule="auto"/>
        <w:rPr>
          <w:rFonts w:hint="eastAsia" w:ascii="宋体" w:hAnsi="宋体" w:eastAsia="宋体" w:cs="宋体"/>
          <w:sz w:val="24"/>
          <w:szCs w:val="24"/>
        </w:rPr>
      </w:pPr>
      <w:r>
        <w:rPr>
          <w:rFonts w:hint="eastAsia" w:ascii="宋体" w:hAnsi="宋体" w:eastAsia="宋体" w:cs="宋体"/>
          <w:sz w:val="24"/>
          <w:szCs w:val="24"/>
        </w:rPr>
        <w:t>（16）记录切片环节技术员工作量统计信息；</w:t>
      </w:r>
    </w:p>
    <w:p>
      <w:pPr>
        <w:spacing w:line="360" w:lineRule="auto"/>
        <w:rPr>
          <w:rFonts w:hint="eastAsia" w:ascii="宋体" w:hAnsi="宋体" w:eastAsia="宋体" w:cs="宋体"/>
          <w:sz w:val="24"/>
          <w:szCs w:val="24"/>
        </w:rPr>
      </w:pPr>
      <w:r>
        <w:rPr>
          <w:rFonts w:hint="eastAsia" w:ascii="宋体" w:hAnsi="宋体" w:eastAsia="宋体" w:cs="宋体"/>
          <w:sz w:val="24"/>
          <w:szCs w:val="24"/>
        </w:rPr>
        <w:t>（17）连接市场主流切片打印机；</w:t>
      </w:r>
    </w:p>
    <w:p>
      <w:pPr>
        <w:spacing w:line="360" w:lineRule="auto"/>
        <w:rPr>
          <w:rFonts w:hint="eastAsia" w:ascii="宋体" w:hAnsi="宋体" w:eastAsia="宋体" w:cs="宋体"/>
          <w:sz w:val="24"/>
          <w:szCs w:val="24"/>
        </w:rPr>
      </w:pPr>
      <w:r>
        <w:rPr>
          <w:rFonts w:hint="eastAsia" w:ascii="宋体" w:hAnsi="宋体" w:eastAsia="宋体" w:cs="宋体"/>
          <w:sz w:val="24"/>
          <w:szCs w:val="24"/>
        </w:rPr>
        <w:t>（18）切片失败的蜡块系统自动查找原因并弹出提示；</w:t>
      </w:r>
    </w:p>
    <w:p>
      <w:pPr>
        <w:spacing w:line="360" w:lineRule="auto"/>
        <w:rPr>
          <w:rFonts w:hint="eastAsia" w:ascii="宋体" w:hAnsi="宋体" w:eastAsia="宋体" w:cs="宋体"/>
          <w:sz w:val="24"/>
          <w:szCs w:val="24"/>
        </w:rPr>
      </w:pPr>
      <w:r>
        <w:rPr>
          <w:rFonts w:hint="eastAsia" w:ascii="宋体" w:hAnsi="宋体" w:eastAsia="宋体" w:cs="宋体"/>
          <w:sz w:val="24"/>
          <w:szCs w:val="24"/>
        </w:rPr>
        <w:t>（19）分冰冻切片和常规切片两个工作站，分别对应冰冻流程和常规流程；</w:t>
      </w:r>
    </w:p>
    <w:p>
      <w:pPr>
        <w:spacing w:line="360" w:lineRule="auto"/>
        <w:rPr>
          <w:rFonts w:hint="eastAsia" w:ascii="宋体" w:hAnsi="宋体" w:eastAsia="宋体" w:cs="宋体"/>
          <w:sz w:val="24"/>
          <w:szCs w:val="24"/>
        </w:rPr>
      </w:pPr>
      <w:r>
        <w:rPr>
          <w:rFonts w:hint="eastAsia" w:ascii="宋体" w:hAnsi="宋体" w:eastAsia="宋体" w:cs="宋体"/>
          <w:sz w:val="24"/>
          <w:szCs w:val="24"/>
        </w:rPr>
        <w:t>（20）可对包埋盒进行质控评价，评价的数据会进入最后质控统计；</w:t>
      </w:r>
    </w:p>
    <w:p>
      <w:pPr>
        <w:spacing w:line="360" w:lineRule="auto"/>
        <w:rPr>
          <w:rFonts w:hint="eastAsia" w:ascii="宋体" w:hAnsi="宋体" w:eastAsia="宋体" w:cs="宋体"/>
          <w:sz w:val="24"/>
          <w:szCs w:val="24"/>
        </w:rPr>
      </w:pPr>
      <w:r>
        <w:rPr>
          <w:rFonts w:hint="eastAsia" w:ascii="宋体" w:hAnsi="宋体" w:eastAsia="宋体" w:cs="宋体"/>
          <w:sz w:val="24"/>
          <w:szCs w:val="24"/>
        </w:rPr>
        <w:t>（21）自动显示当日切片任务总数，当前用户已切片数量；</w:t>
      </w:r>
    </w:p>
    <w:p>
      <w:pPr>
        <w:spacing w:line="360" w:lineRule="auto"/>
        <w:rPr>
          <w:rFonts w:hint="eastAsia" w:ascii="宋体" w:hAnsi="宋体" w:eastAsia="宋体" w:cs="宋体"/>
          <w:sz w:val="24"/>
          <w:szCs w:val="24"/>
        </w:rPr>
      </w:pPr>
      <w:r>
        <w:rPr>
          <w:rFonts w:hint="eastAsia" w:ascii="宋体" w:hAnsi="宋体" w:eastAsia="宋体" w:cs="宋体"/>
          <w:sz w:val="24"/>
          <w:szCs w:val="24"/>
        </w:rPr>
        <w:t>（22）支持捞片工作站登录；</w:t>
      </w:r>
    </w:p>
    <w:p>
      <w:pPr>
        <w:spacing w:line="360" w:lineRule="auto"/>
        <w:rPr>
          <w:rFonts w:hint="eastAsia" w:ascii="宋体" w:hAnsi="宋体" w:eastAsia="宋体" w:cs="宋体"/>
          <w:sz w:val="24"/>
          <w:szCs w:val="24"/>
        </w:rPr>
      </w:pPr>
      <w:r>
        <w:rPr>
          <w:rFonts w:hint="eastAsia" w:ascii="宋体" w:hAnsi="宋体" w:eastAsia="宋体" w:cs="宋体"/>
          <w:sz w:val="24"/>
          <w:szCs w:val="24"/>
        </w:rPr>
        <w:t>（23）系统扫描包埋盒二维码时，会对已切片的包埋盒进行语音播报提示。</w:t>
      </w:r>
    </w:p>
    <w:p>
      <w:pPr>
        <w:spacing w:line="360" w:lineRule="auto"/>
        <w:rPr>
          <w:rFonts w:hint="eastAsia" w:ascii="宋体" w:hAnsi="宋体" w:eastAsia="宋体" w:cs="宋体"/>
          <w:sz w:val="24"/>
          <w:szCs w:val="24"/>
        </w:rPr>
      </w:pPr>
      <w:r>
        <w:rPr>
          <w:rFonts w:hint="eastAsia" w:ascii="宋体" w:hAnsi="宋体" w:eastAsia="宋体" w:cs="宋体"/>
          <w:sz w:val="24"/>
          <w:szCs w:val="24"/>
        </w:rPr>
        <w:t>（24）系统自动显示诊断医生常规医嘱（重切/深切/补取/重包埋等），技术员进行确认医嘱操作；</w:t>
      </w:r>
    </w:p>
    <w:p>
      <w:pPr>
        <w:spacing w:line="360" w:lineRule="auto"/>
        <w:rPr>
          <w:rFonts w:hint="eastAsia" w:ascii="宋体" w:hAnsi="宋体" w:eastAsia="宋体" w:cs="宋体"/>
          <w:sz w:val="24"/>
          <w:szCs w:val="24"/>
        </w:rPr>
      </w:pPr>
      <w:r>
        <w:rPr>
          <w:rFonts w:hint="eastAsia" w:ascii="宋体" w:hAnsi="宋体" w:eastAsia="宋体" w:cs="宋体"/>
          <w:sz w:val="24"/>
          <w:szCs w:val="24"/>
        </w:rPr>
        <w:t>（25）系统自动提供对应的蜡块/玻片归档位置信息；</w:t>
      </w:r>
    </w:p>
    <w:p>
      <w:pPr>
        <w:spacing w:line="360" w:lineRule="auto"/>
        <w:rPr>
          <w:rFonts w:hint="eastAsia" w:ascii="宋体" w:hAnsi="宋体" w:eastAsia="宋体" w:cs="宋体"/>
          <w:sz w:val="24"/>
          <w:szCs w:val="24"/>
        </w:rPr>
      </w:pPr>
      <w:r>
        <w:rPr>
          <w:rFonts w:hint="eastAsia" w:ascii="宋体" w:hAnsi="宋体" w:eastAsia="宋体" w:cs="宋体"/>
          <w:sz w:val="24"/>
          <w:szCs w:val="24"/>
        </w:rPr>
        <w:t>▲（26）新医嘱任务右下角弹出新任务提醒；（需提供软件截图证明）</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免疫组化/特染工作站</w:t>
      </w:r>
    </w:p>
    <w:p>
      <w:pPr>
        <w:spacing w:line="360" w:lineRule="auto"/>
        <w:rPr>
          <w:rFonts w:hint="eastAsia" w:ascii="宋体" w:hAnsi="宋体" w:eastAsia="宋体" w:cs="宋体"/>
          <w:sz w:val="24"/>
          <w:szCs w:val="24"/>
        </w:rPr>
      </w:pPr>
      <w:r>
        <w:rPr>
          <w:rFonts w:hint="eastAsia" w:ascii="宋体" w:hAnsi="宋体" w:eastAsia="宋体" w:cs="宋体"/>
          <w:sz w:val="24"/>
          <w:szCs w:val="24"/>
        </w:rPr>
        <w:t>▲（1）系统自动显示诊断医生免疫组化医嘱，技术员进行确认医嘱、出片操作；（需提供软件截图证明）</w:t>
      </w:r>
    </w:p>
    <w:p>
      <w:pPr>
        <w:spacing w:line="360" w:lineRule="auto"/>
        <w:rPr>
          <w:rFonts w:hint="eastAsia" w:ascii="宋体" w:hAnsi="宋体" w:eastAsia="宋体" w:cs="宋体"/>
          <w:sz w:val="24"/>
          <w:szCs w:val="24"/>
        </w:rPr>
      </w:pPr>
      <w:r>
        <w:rPr>
          <w:rFonts w:hint="eastAsia" w:ascii="宋体" w:hAnsi="宋体" w:eastAsia="宋体" w:cs="宋体"/>
          <w:sz w:val="24"/>
          <w:szCs w:val="24"/>
        </w:rPr>
        <w:t>（2）系统自动提供对应的蜡块归档位置信息；</w:t>
      </w:r>
    </w:p>
    <w:p>
      <w:pPr>
        <w:spacing w:line="360" w:lineRule="auto"/>
        <w:rPr>
          <w:rFonts w:hint="eastAsia" w:ascii="宋体" w:hAnsi="宋体" w:eastAsia="宋体" w:cs="宋体"/>
          <w:sz w:val="24"/>
          <w:szCs w:val="24"/>
        </w:rPr>
      </w:pPr>
      <w:r>
        <w:rPr>
          <w:rFonts w:hint="eastAsia" w:ascii="宋体" w:hAnsi="宋体" w:eastAsia="宋体" w:cs="宋体"/>
          <w:sz w:val="24"/>
          <w:szCs w:val="24"/>
        </w:rPr>
        <w:t>（3）提供导出、打印、按天查询等功能，打印功能可根据用户需求，自定义配置是否需要打印申请单标签；</w:t>
      </w:r>
    </w:p>
    <w:p>
      <w:pPr>
        <w:spacing w:line="360" w:lineRule="auto"/>
        <w:rPr>
          <w:rFonts w:hint="eastAsia" w:ascii="宋体" w:hAnsi="宋体" w:eastAsia="宋体" w:cs="宋体"/>
          <w:sz w:val="24"/>
          <w:szCs w:val="24"/>
        </w:rPr>
      </w:pPr>
      <w:r>
        <w:rPr>
          <w:rFonts w:hint="eastAsia" w:ascii="宋体" w:hAnsi="宋体" w:eastAsia="宋体" w:cs="宋体"/>
          <w:sz w:val="24"/>
          <w:szCs w:val="24"/>
        </w:rPr>
        <w:t>（4）可打印免疫组化交接单；</w:t>
      </w:r>
    </w:p>
    <w:p>
      <w:pPr>
        <w:spacing w:line="360" w:lineRule="auto"/>
        <w:rPr>
          <w:rFonts w:hint="eastAsia" w:ascii="宋体" w:hAnsi="宋体" w:eastAsia="宋体" w:cs="宋体"/>
          <w:sz w:val="24"/>
          <w:szCs w:val="24"/>
        </w:rPr>
      </w:pPr>
      <w:r>
        <w:rPr>
          <w:rFonts w:hint="eastAsia" w:ascii="宋体" w:hAnsi="宋体" w:eastAsia="宋体" w:cs="宋体"/>
          <w:sz w:val="24"/>
          <w:szCs w:val="24"/>
        </w:rPr>
        <w:t>（5）新医嘱任务右下角弹出新任务提醒。</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细胞学/液基细胞工作站</w:t>
      </w:r>
    </w:p>
    <w:p>
      <w:pPr>
        <w:spacing w:line="360" w:lineRule="auto"/>
        <w:rPr>
          <w:rFonts w:hint="eastAsia" w:ascii="宋体" w:hAnsi="宋体" w:eastAsia="宋体" w:cs="宋体"/>
          <w:sz w:val="24"/>
          <w:szCs w:val="24"/>
        </w:rPr>
      </w:pPr>
      <w:r>
        <w:rPr>
          <w:rFonts w:hint="eastAsia" w:ascii="宋体" w:hAnsi="宋体" w:eastAsia="宋体" w:cs="宋体"/>
          <w:sz w:val="24"/>
          <w:szCs w:val="24"/>
        </w:rPr>
        <w:t>（1）默认显示待处理数据，可按天查询；</w:t>
      </w:r>
    </w:p>
    <w:p>
      <w:pPr>
        <w:spacing w:line="360" w:lineRule="auto"/>
        <w:rPr>
          <w:rFonts w:hint="eastAsia" w:ascii="宋体" w:hAnsi="宋体" w:eastAsia="宋体" w:cs="宋体"/>
          <w:sz w:val="24"/>
          <w:szCs w:val="24"/>
        </w:rPr>
      </w:pPr>
      <w:r>
        <w:rPr>
          <w:rFonts w:hint="eastAsia" w:ascii="宋体" w:hAnsi="宋体" w:eastAsia="宋体" w:cs="宋体"/>
          <w:sz w:val="24"/>
          <w:szCs w:val="24"/>
        </w:rPr>
        <w:t>（2）选中对应病例后，同步显示关联的送检标本信息，并可手动生成、打印、删除标本对应的玻片标签。</w:t>
      </w:r>
    </w:p>
    <w:p>
      <w:pPr>
        <w:spacing w:line="360" w:lineRule="auto"/>
        <w:rPr>
          <w:rFonts w:hint="eastAsia" w:ascii="宋体" w:hAnsi="宋体" w:eastAsia="宋体" w:cs="宋体"/>
          <w:sz w:val="24"/>
          <w:szCs w:val="24"/>
        </w:rPr>
      </w:pPr>
      <w:r>
        <w:rPr>
          <w:rFonts w:hint="eastAsia" w:ascii="宋体" w:hAnsi="宋体" w:eastAsia="宋体" w:cs="宋体"/>
          <w:sz w:val="24"/>
          <w:szCs w:val="24"/>
        </w:rPr>
        <w:t>（3）支持诊断医生下细胞学医嘱。</w:t>
      </w:r>
    </w:p>
    <w:p>
      <w:pPr>
        <w:spacing w:line="360" w:lineRule="auto"/>
        <w:rPr>
          <w:rFonts w:hint="eastAsia" w:ascii="宋体" w:hAnsi="宋体" w:eastAsia="宋体" w:cs="宋体"/>
          <w:sz w:val="24"/>
          <w:szCs w:val="24"/>
        </w:rPr>
      </w:pPr>
      <w:r>
        <w:rPr>
          <w:rFonts w:hint="eastAsia" w:ascii="宋体" w:hAnsi="宋体" w:eastAsia="宋体" w:cs="宋体"/>
          <w:sz w:val="24"/>
          <w:szCs w:val="24"/>
        </w:rPr>
        <w:t>（4）支持生成细胞学蜡块。</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诊断工作站</w:t>
      </w:r>
    </w:p>
    <w:p>
      <w:pPr>
        <w:spacing w:line="360" w:lineRule="auto"/>
        <w:rPr>
          <w:rFonts w:hint="eastAsia" w:ascii="宋体" w:hAnsi="宋体" w:eastAsia="宋体" w:cs="宋体"/>
          <w:sz w:val="24"/>
          <w:szCs w:val="24"/>
        </w:rPr>
      </w:pPr>
      <w:r>
        <w:rPr>
          <w:rFonts w:hint="eastAsia" w:ascii="宋体" w:hAnsi="宋体" w:eastAsia="宋体" w:cs="宋体"/>
          <w:sz w:val="24"/>
          <w:szCs w:val="24"/>
        </w:rPr>
        <w:t>（1）系统自动提示登录用户的诊断任务列表，默认显示未诊断的病例；</w:t>
      </w:r>
    </w:p>
    <w:p>
      <w:pPr>
        <w:spacing w:line="360" w:lineRule="auto"/>
        <w:rPr>
          <w:rFonts w:hint="eastAsia" w:ascii="宋体" w:hAnsi="宋体" w:eastAsia="宋体" w:cs="宋体"/>
          <w:sz w:val="24"/>
          <w:szCs w:val="24"/>
        </w:rPr>
      </w:pPr>
      <w:r>
        <w:rPr>
          <w:rFonts w:hint="eastAsia" w:ascii="宋体" w:hAnsi="宋体" w:eastAsia="宋体" w:cs="宋体"/>
          <w:sz w:val="24"/>
          <w:szCs w:val="24"/>
        </w:rPr>
        <w:t>（2）在同一界面下显示病例相关信息，进行镜下采图、病理诊断等；</w:t>
      </w:r>
    </w:p>
    <w:p>
      <w:pPr>
        <w:spacing w:line="360" w:lineRule="auto"/>
        <w:rPr>
          <w:rFonts w:hint="eastAsia" w:ascii="宋体" w:hAnsi="宋体" w:eastAsia="宋体" w:cs="宋体"/>
          <w:sz w:val="24"/>
          <w:szCs w:val="24"/>
        </w:rPr>
      </w:pPr>
      <w:r>
        <w:rPr>
          <w:rFonts w:hint="eastAsia" w:ascii="宋体" w:hAnsi="宋体" w:eastAsia="宋体" w:cs="宋体"/>
          <w:sz w:val="24"/>
          <w:szCs w:val="24"/>
        </w:rPr>
        <w:t>（3）具有报告延迟登记功能；</w:t>
      </w:r>
    </w:p>
    <w:p>
      <w:pPr>
        <w:spacing w:line="360" w:lineRule="auto"/>
        <w:rPr>
          <w:rFonts w:hint="eastAsia" w:ascii="宋体" w:hAnsi="宋体" w:eastAsia="宋体" w:cs="宋体"/>
          <w:sz w:val="24"/>
          <w:szCs w:val="24"/>
        </w:rPr>
      </w:pPr>
      <w:r>
        <w:rPr>
          <w:rFonts w:hint="eastAsia" w:ascii="宋体" w:hAnsi="宋体" w:eastAsia="宋体" w:cs="宋体"/>
          <w:sz w:val="24"/>
          <w:szCs w:val="24"/>
        </w:rPr>
        <w:t>（4）病理诊断结果冲突监控提示功能：如男性病例出现“宫颈、卵巢等”描述、女性病例出现“阴茎、睾丸等”描述时，系统自动进行弹框提醒；</w:t>
      </w:r>
    </w:p>
    <w:p>
      <w:pPr>
        <w:spacing w:line="360" w:lineRule="auto"/>
        <w:rPr>
          <w:rFonts w:hint="eastAsia" w:ascii="宋体" w:hAnsi="宋体" w:eastAsia="宋体" w:cs="宋体"/>
          <w:sz w:val="24"/>
          <w:szCs w:val="24"/>
        </w:rPr>
      </w:pPr>
      <w:r>
        <w:rPr>
          <w:rFonts w:hint="eastAsia" w:ascii="宋体" w:hAnsi="宋体" w:eastAsia="宋体" w:cs="宋体"/>
          <w:sz w:val="24"/>
          <w:szCs w:val="24"/>
        </w:rPr>
        <w:t>▲（5）诊断医生可多次下重切、深切、补取、免疫组化等医嘱，并自动计算缴费金额，扣费成功后该医嘱显示到对应工作站； （需提供软件截图证明）</w:t>
      </w:r>
    </w:p>
    <w:p>
      <w:pPr>
        <w:spacing w:line="360" w:lineRule="auto"/>
        <w:rPr>
          <w:rFonts w:hint="eastAsia" w:ascii="宋体" w:hAnsi="宋体" w:eastAsia="宋体" w:cs="宋体"/>
          <w:sz w:val="24"/>
          <w:szCs w:val="24"/>
        </w:rPr>
      </w:pPr>
      <w:r>
        <w:rPr>
          <w:rFonts w:hint="eastAsia" w:ascii="宋体" w:hAnsi="宋体" w:eastAsia="宋体" w:cs="宋体"/>
          <w:sz w:val="24"/>
          <w:szCs w:val="24"/>
        </w:rPr>
        <w:t>（6）可对病例进行随访标记，系统会自动加入“需随访病例”列表并进行提示，可录入并保存随访结果，并可继续随访或结束随访；</w:t>
      </w:r>
    </w:p>
    <w:p>
      <w:pPr>
        <w:spacing w:line="360" w:lineRule="auto"/>
        <w:rPr>
          <w:rFonts w:hint="eastAsia" w:ascii="宋体" w:hAnsi="宋体" w:eastAsia="宋体" w:cs="宋体"/>
          <w:sz w:val="24"/>
          <w:szCs w:val="24"/>
        </w:rPr>
      </w:pPr>
      <w:r>
        <w:rPr>
          <w:rFonts w:hint="eastAsia" w:ascii="宋体" w:hAnsi="宋体" w:eastAsia="宋体" w:cs="宋体"/>
          <w:sz w:val="24"/>
          <w:szCs w:val="24"/>
        </w:rPr>
        <w:t>（7）可对感兴趣的病例进行自定义收藏分类管理，系统会自动加入到“我的收藏夹”列表并进行提示，医生可以导出自己的收藏夹病例列表；</w:t>
      </w:r>
    </w:p>
    <w:p>
      <w:pPr>
        <w:spacing w:line="360" w:lineRule="auto"/>
        <w:rPr>
          <w:rFonts w:hint="eastAsia" w:ascii="宋体" w:hAnsi="宋体" w:eastAsia="宋体" w:cs="宋体"/>
          <w:sz w:val="24"/>
          <w:szCs w:val="24"/>
        </w:rPr>
      </w:pPr>
      <w:r>
        <w:rPr>
          <w:rFonts w:hint="eastAsia" w:ascii="宋体" w:hAnsi="宋体" w:eastAsia="宋体" w:cs="宋体"/>
          <w:sz w:val="24"/>
          <w:szCs w:val="24"/>
        </w:rPr>
        <w:t>（8）可根据多个条件来组合查询或统计病例，可导出病例和附件信息；</w:t>
      </w:r>
    </w:p>
    <w:p>
      <w:pPr>
        <w:spacing w:line="360" w:lineRule="auto"/>
        <w:rPr>
          <w:rFonts w:hint="eastAsia" w:ascii="宋体" w:hAnsi="宋体" w:eastAsia="宋体" w:cs="宋体"/>
          <w:sz w:val="24"/>
          <w:szCs w:val="24"/>
        </w:rPr>
      </w:pPr>
      <w:r>
        <w:rPr>
          <w:rFonts w:hint="eastAsia" w:ascii="宋体" w:hAnsi="宋体" w:eastAsia="宋体" w:cs="宋体"/>
          <w:sz w:val="24"/>
          <w:szCs w:val="24"/>
        </w:rPr>
        <w:t>▲（9）提供用户分级权限体系，适应病理科不同级别的医生相互之间的报告修改和审核的权限嵌套关系；</w:t>
      </w:r>
    </w:p>
    <w:p>
      <w:pPr>
        <w:spacing w:line="360" w:lineRule="auto"/>
        <w:rPr>
          <w:rFonts w:hint="eastAsia" w:ascii="宋体" w:hAnsi="宋体" w:eastAsia="宋体" w:cs="宋体"/>
          <w:sz w:val="24"/>
          <w:szCs w:val="24"/>
        </w:rPr>
      </w:pPr>
      <w:r>
        <w:rPr>
          <w:rFonts w:hint="eastAsia" w:ascii="宋体" w:hAnsi="宋体" w:eastAsia="宋体" w:cs="宋体"/>
          <w:sz w:val="24"/>
          <w:szCs w:val="24"/>
        </w:rPr>
        <w:t>（10）可在列表界面进行病例跟踪，查看申请单、蜡块、玻片、诊断结果、历史报告及医嘱信息；</w:t>
      </w:r>
    </w:p>
    <w:p>
      <w:pPr>
        <w:spacing w:line="360" w:lineRule="auto"/>
        <w:rPr>
          <w:rFonts w:hint="eastAsia" w:ascii="宋体" w:hAnsi="宋体" w:eastAsia="宋体" w:cs="宋体"/>
          <w:sz w:val="24"/>
          <w:szCs w:val="24"/>
        </w:rPr>
      </w:pPr>
      <w:r>
        <w:rPr>
          <w:rFonts w:hint="eastAsia" w:ascii="宋体" w:hAnsi="宋体" w:eastAsia="宋体" w:cs="宋体"/>
          <w:sz w:val="24"/>
          <w:szCs w:val="24"/>
        </w:rPr>
        <w:t>（11）可自定义不同类型报告的应发时间，使用不同颜色区分病例的状态（未诊断/超时/已签发）；</w:t>
      </w:r>
    </w:p>
    <w:p>
      <w:pPr>
        <w:spacing w:line="360" w:lineRule="auto"/>
        <w:rPr>
          <w:rFonts w:hint="eastAsia" w:ascii="宋体" w:hAnsi="宋体" w:eastAsia="宋体" w:cs="宋体"/>
          <w:sz w:val="24"/>
          <w:szCs w:val="24"/>
        </w:rPr>
      </w:pPr>
      <w:r>
        <w:rPr>
          <w:rFonts w:hint="eastAsia" w:ascii="宋体" w:hAnsi="宋体" w:eastAsia="宋体" w:cs="宋体"/>
          <w:sz w:val="24"/>
          <w:szCs w:val="24"/>
        </w:rPr>
        <w:t>（12）提供肿瘤病理诊断报告模板；</w:t>
      </w:r>
    </w:p>
    <w:p>
      <w:pPr>
        <w:spacing w:line="360" w:lineRule="auto"/>
        <w:rPr>
          <w:rFonts w:hint="eastAsia" w:ascii="宋体" w:hAnsi="宋体" w:eastAsia="宋体" w:cs="宋体"/>
          <w:sz w:val="24"/>
          <w:szCs w:val="24"/>
        </w:rPr>
      </w:pPr>
      <w:r>
        <w:rPr>
          <w:rFonts w:hint="eastAsia" w:ascii="宋体" w:hAnsi="宋体" w:eastAsia="宋体" w:cs="宋体"/>
          <w:sz w:val="24"/>
          <w:szCs w:val="24"/>
        </w:rPr>
        <w:t>（13）可查看病例操作日志；</w:t>
      </w:r>
    </w:p>
    <w:p>
      <w:pPr>
        <w:spacing w:line="360" w:lineRule="auto"/>
        <w:rPr>
          <w:rFonts w:hint="eastAsia" w:ascii="宋体" w:hAnsi="宋体" w:eastAsia="宋体" w:cs="宋体"/>
          <w:sz w:val="24"/>
          <w:szCs w:val="24"/>
        </w:rPr>
      </w:pPr>
      <w:r>
        <w:rPr>
          <w:rFonts w:hint="eastAsia" w:ascii="宋体" w:hAnsi="宋体" w:eastAsia="宋体" w:cs="宋体"/>
          <w:sz w:val="24"/>
          <w:szCs w:val="24"/>
        </w:rPr>
        <w:t>（14）可对病例对应的蜡块和玻片进行评价；</w:t>
      </w:r>
    </w:p>
    <w:p>
      <w:pPr>
        <w:spacing w:line="360" w:lineRule="auto"/>
        <w:rPr>
          <w:rFonts w:hint="eastAsia" w:ascii="宋体" w:hAnsi="宋体" w:eastAsia="宋体" w:cs="宋体"/>
          <w:sz w:val="24"/>
          <w:szCs w:val="24"/>
        </w:rPr>
      </w:pPr>
      <w:r>
        <w:rPr>
          <w:rFonts w:hint="eastAsia" w:ascii="宋体" w:hAnsi="宋体" w:eastAsia="宋体" w:cs="宋体"/>
          <w:sz w:val="24"/>
          <w:szCs w:val="24"/>
        </w:rPr>
        <w:t>▲（15）根据标本名称自动检索诊断模板，支持自定义维护个人诊断模板；</w:t>
      </w:r>
    </w:p>
    <w:p>
      <w:pPr>
        <w:spacing w:line="360" w:lineRule="auto"/>
        <w:rPr>
          <w:rFonts w:hint="eastAsia" w:ascii="宋体" w:hAnsi="宋体" w:eastAsia="宋体" w:cs="宋体"/>
          <w:sz w:val="24"/>
          <w:szCs w:val="24"/>
        </w:rPr>
      </w:pPr>
      <w:r>
        <w:rPr>
          <w:rFonts w:hint="eastAsia" w:ascii="宋体" w:hAnsi="宋体" w:eastAsia="宋体" w:cs="宋体"/>
          <w:sz w:val="24"/>
          <w:szCs w:val="24"/>
        </w:rPr>
        <w:t>（16）支持恶性肿瘤登记及统计；</w:t>
      </w:r>
    </w:p>
    <w:p>
      <w:pPr>
        <w:spacing w:line="360" w:lineRule="auto"/>
        <w:rPr>
          <w:rFonts w:hint="eastAsia" w:ascii="宋体" w:hAnsi="宋体" w:eastAsia="宋体" w:cs="宋体"/>
          <w:sz w:val="24"/>
          <w:szCs w:val="24"/>
        </w:rPr>
      </w:pPr>
      <w:r>
        <w:rPr>
          <w:rFonts w:hint="eastAsia" w:ascii="宋体" w:hAnsi="宋体" w:eastAsia="宋体" w:cs="宋体"/>
          <w:sz w:val="24"/>
          <w:szCs w:val="24"/>
        </w:rPr>
        <w:t>（17）提供外院会诊的诊断结果录入及拍照存底；</w:t>
      </w:r>
    </w:p>
    <w:p>
      <w:pPr>
        <w:spacing w:line="360" w:lineRule="auto"/>
        <w:rPr>
          <w:rFonts w:hint="eastAsia" w:ascii="宋体" w:hAnsi="宋体" w:eastAsia="宋体" w:cs="宋体"/>
          <w:sz w:val="24"/>
          <w:szCs w:val="24"/>
        </w:rPr>
      </w:pPr>
      <w:r>
        <w:rPr>
          <w:rFonts w:hint="eastAsia" w:ascii="宋体" w:hAnsi="宋体" w:eastAsia="宋体" w:cs="宋体"/>
          <w:sz w:val="24"/>
          <w:szCs w:val="24"/>
        </w:rPr>
        <w:t>（18）可查询同一病人历史诊断信息；</w:t>
      </w:r>
    </w:p>
    <w:p>
      <w:pPr>
        <w:spacing w:line="360" w:lineRule="auto"/>
        <w:rPr>
          <w:rFonts w:hint="eastAsia" w:ascii="宋体" w:hAnsi="宋体" w:eastAsia="宋体" w:cs="宋体"/>
          <w:sz w:val="24"/>
          <w:szCs w:val="24"/>
        </w:rPr>
      </w:pPr>
      <w:r>
        <w:rPr>
          <w:rFonts w:hint="eastAsia" w:ascii="宋体" w:hAnsi="宋体" w:eastAsia="宋体" w:cs="宋体"/>
          <w:sz w:val="24"/>
          <w:szCs w:val="24"/>
        </w:rPr>
        <w:t>（19）具有医嘱预收费功能；</w:t>
      </w:r>
    </w:p>
    <w:p>
      <w:pPr>
        <w:spacing w:line="360" w:lineRule="auto"/>
        <w:rPr>
          <w:rFonts w:hint="eastAsia" w:ascii="宋体" w:hAnsi="宋体" w:eastAsia="宋体" w:cs="宋体"/>
          <w:sz w:val="24"/>
          <w:szCs w:val="24"/>
        </w:rPr>
      </w:pPr>
      <w:r>
        <w:rPr>
          <w:rFonts w:hint="eastAsia" w:ascii="宋体" w:hAnsi="宋体" w:eastAsia="宋体" w:cs="宋体"/>
          <w:sz w:val="24"/>
          <w:szCs w:val="24"/>
        </w:rPr>
        <w:t>（20）医师可发出科内会诊申请，其他医生登录系统后可快速查看会诊病例，可增加、修改、删除自己的科内会诊意见；</w:t>
      </w:r>
    </w:p>
    <w:p>
      <w:pPr>
        <w:spacing w:line="360" w:lineRule="auto"/>
        <w:rPr>
          <w:rFonts w:hint="eastAsia" w:ascii="宋体" w:hAnsi="宋体" w:eastAsia="宋体" w:cs="宋体"/>
          <w:sz w:val="24"/>
          <w:szCs w:val="24"/>
        </w:rPr>
      </w:pPr>
      <w:r>
        <w:rPr>
          <w:rFonts w:hint="eastAsia" w:ascii="宋体" w:hAnsi="宋体" w:eastAsia="宋体" w:cs="宋体"/>
          <w:sz w:val="24"/>
          <w:szCs w:val="24"/>
        </w:rPr>
        <w:t>（21）诊断详情可查看同一病人其他的检查结果（PACS/EMR等）；</w:t>
      </w:r>
    </w:p>
    <w:p>
      <w:pPr>
        <w:spacing w:line="360" w:lineRule="auto"/>
        <w:rPr>
          <w:rFonts w:hint="eastAsia" w:ascii="宋体" w:hAnsi="宋体" w:eastAsia="宋体" w:cs="宋体"/>
          <w:sz w:val="24"/>
          <w:szCs w:val="24"/>
        </w:rPr>
      </w:pPr>
      <w:r>
        <w:rPr>
          <w:rFonts w:hint="eastAsia" w:ascii="宋体" w:hAnsi="宋体" w:eastAsia="宋体" w:cs="宋体"/>
          <w:sz w:val="24"/>
          <w:szCs w:val="24"/>
        </w:rPr>
        <w:t>（22）诊断详情可根据输入的条件查询病例记录；</w:t>
      </w:r>
    </w:p>
    <w:p>
      <w:pPr>
        <w:spacing w:line="360" w:lineRule="auto"/>
        <w:rPr>
          <w:rFonts w:hint="eastAsia" w:ascii="宋体" w:hAnsi="宋体" w:eastAsia="宋体" w:cs="宋体"/>
          <w:sz w:val="24"/>
          <w:szCs w:val="24"/>
        </w:rPr>
      </w:pPr>
      <w:r>
        <w:rPr>
          <w:rFonts w:hint="eastAsia" w:ascii="宋体" w:hAnsi="宋体" w:eastAsia="宋体" w:cs="宋体"/>
          <w:sz w:val="24"/>
          <w:szCs w:val="24"/>
        </w:rPr>
        <w:t>（23）提供“可见即所得”的病理报告预览效果；</w:t>
      </w:r>
    </w:p>
    <w:p>
      <w:pPr>
        <w:spacing w:line="360" w:lineRule="auto"/>
        <w:rPr>
          <w:rFonts w:hint="eastAsia" w:ascii="宋体" w:hAnsi="宋体" w:eastAsia="宋体" w:cs="宋体"/>
          <w:sz w:val="24"/>
          <w:szCs w:val="24"/>
        </w:rPr>
      </w:pPr>
      <w:r>
        <w:rPr>
          <w:rFonts w:hint="eastAsia" w:ascii="宋体" w:hAnsi="宋体" w:eastAsia="宋体" w:cs="宋体"/>
          <w:sz w:val="24"/>
          <w:szCs w:val="24"/>
        </w:rPr>
        <w:t>（24）支持快速下医嘱功能；</w:t>
      </w:r>
    </w:p>
    <w:p>
      <w:pPr>
        <w:spacing w:line="360" w:lineRule="auto"/>
        <w:rPr>
          <w:rFonts w:hint="eastAsia" w:ascii="宋体" w:hAnsi="宋体" w:eastAsia="宋体" w:cs="宋体"/>
          <w:sz w:val="24"/>
          <w:szCs w:val="24"/>
        </w:rPr>
      </w:pPr>
      <w:r>
        <w:rPr>
          <w:rFonts w:hint="eastAsia" w:ascii="宋体" w:hAnsi="宋体" w:eastAsia="宋体" w:cs="宋体"/>
          <w:sz w:val="24"/>
          <w:szCs w:val="24"/>
        </w:rPr>
        <w:t>（25）支持扫描玻片、申请单及报告二维码自动进入诊断报告界面；</w:t>
      </w:r>
    </w:p>
    <w:p>
      <w:pPr>
        <w:spacing w:line="360" w:lineRule="auto"/>
        <w:rPr>
          <w:rFonts w:hint="eastAsia" w:ascii="宋体" w:hAnsi="宋体" w:eastAsia="宋体" w:cs="宋体"/>
          <w:sz w:val="24"/>
          <w:szCs w:val="24"/>
        </w:rPr>
      </w:pPr>
      <w:r>
        <w:rPr>
          <w:rFonts w:hint="eastAsia" w:ascii="宋体" w:hAnsi="宋体" w:eastAsia="宋体" w:cs="宋体"/>
          <w:sz w:val="24"/>
          <w:szCs w:val="24"/>
        </w:rPr>
        <w:t>（26）支持对接各厂家摄像头；</w:t>
      </w:r>
    </w:p>
    <w:p>
      <w:pPr>
        <w:spacing w:line="360" w:lineRule="auto"/>
        <w:rPr>
          <w:rFonts w:hint="eastAsia" w:ascii="宋体" w:hAnsi="宋体" w:eastAsia="宋体" w:cs="宋体"/>
          <w:sz w:val="24"/>
          <w:szCs w:val="24"/>
        </w:rPr>
      </w:pPr>
      <w:r>
        <w:rPr>
          <w:rFonts w:hint="eastAsia" w:ascii="宋体" w:hAnsi="宋体" w:eastAsia="宋体" w:cs="宋体"/>
          <w:sz w:val="24"/>
          <w:szCs w:val="24"/>
        </w:rPr>
        <w:t>（27）记录病理报告修改痕迹，以供溯源查询；</w:t>
      </w:r>
    </w:p>
    <w:p>
      <w:pPr>
        <w:spacing w:line="360" w:lineRule="auto"/>
        <w:rPr>
          <w:rFonts w:hint="eastAsia" w:ascii="宋体" w:hAnsi="宋体" w:eastAsia="宋体" w:cs="宋体"/>
          <w:sz w:val="24"/>
          <w:szCs w:val="24"/>
        </w:rPr>
      </w:pPr>
      <w:r>
        <w:rPr>
          <w:rFonts w:hint="eastAsia" w:ascii="宋体" w:hAnsi="宋体" w:eastAsia="宋体" w:cs="宋体"/>
          <w:sz w:val="24"/>
          <w:szCs w:val="24"/>
        </w:rPr>
        <w:t>（28）可对细胞学诊断进行阴阳性标记，方便后期统计、数据分析、案例教学、科研等；</w:t>
      </w:r>
    </w:p>
    <w:p>
      <w:pPr>
        <w:spacing w:line="360" w:lineRule="auto"/>
        <w:rPr>
          <w:rFonts w:hint="eastAsia" w:ascii="宋体" w:hAnsi="宋体" w:eastAsia="宋体" w:cs="宋体"/>
          <w:sz w:val="24"/>
          <w:szCs w:val="24"/>
        </w:rPr>
      </w:pPr>
      <w:r>
        <w:rPr>
          <w:rFonts w:hint="eastAsia" w:ascii="宋体" w:hAnsi="宋体" w:eastAsia="宋体" w:cs="宋体"/>
          <w:sz w:val="24"/>
          <w:szCs w:val="24"/>
        </w:rPr>
        <w:t>（29）可根据诊断任务锁定病例修改权限；</w:t>
      </w:r>
    </w:p>
    <w:p>
      <w:pPr>
        <w:spacing w:line="360" w:lineRule="auto"/>
        <w:rPr>
          <w:rFonts w:hint="eastAsia" w:ascii="宋体" w:hAnsi="宋体" w:eastAsia="宋体" w:cs="宋体"/>
          <w:sz w:val="24"/>
          <w:szCs w:val="24"/>
        </w:rPr>
      </w:pPr>
      <w:r>
        <w:rPr>
          <w:rFonts w:hint="eastAsia" w:ascii="宋体" w:hAnsi="宋体" w:eastAsia="宋体" w:cs="宋体"/>
          <w:sz w:val="24"/>
          <w:szCs w:val="24"/>
        </w:rPr>
        <w:t>（30）提供底单打印，可将肉眼所见内容、取材明细、诊断报告内容、医生及报告时间直接打印到申请单上，节省用户抄录时间；</w:t>
      </w:r>
    </w:p>
    <w:p>
      <w:pPr>
        <w:spacing w:line="360" w:lineRule="auto"/>
        <w:rPr>
          <w:rFonts w:hint="eastAsia" w:ascii="宋体" w:hAnsi="宋体" w:eastAsia="宋体" w:cs="宋体"/>
          <w:sz w:val="24"/>
          <w:szCs w:val="24"/>
        </w:rPr>
      </w:pPr>
      <w:r>
        <w:rPr>
          <w:rFonts w:hint="eastAsia" w:ascii="宋体" w:hAnsi="宋体" w:eastAsia="宋体" w:cs="宋体"/>
          <w:sz w:val="24"/>
          <w:szCs w:val="24"/>
        </w:rPr>
        <w:t>（31）报告格式自定义功能；</w:t>
      </w:r>
    </w:p>
    <w:p>
      <w:pPr>
        <w:spacing w:line="360" w:lineRule="auto"/>
        <w:rPr>
          <w:rFonts w:hint="eastAsia" w:ascii="宋体" w:hAnsi="宋体" w:eastAsia="宋体" w:cs="宋体"/>
          <w:sz w:val="24"/>
          <w:szCs w:val="24"/>
        </w:rPr>
      </w:pPr>
      <w:r>
        <w:rPr>
          <w:rFonts w:hint="eastAsia" w:ascii="宋体" w:hAnsi="宋体" w:eastAsia="宋体" w:cs="宋体"/>
          <w:sz w:val="24"/>
          <w:szCs w:val="24"/>
        </w:rPr>
        <w:t>（32）带标准TWAIN32接口的数码摄像头；</w:t>
      </w:r>
    </w:p>
    <w:p>
      <w:pPr>
        <w:spacing w:line="360" w:lineRule="auto"/>
        <w:rPr>
          <w:rFonts w:hint="eastAsia" w:ascii="宋体" w:hAnsi="宋体" w:eastAsia="宋体" w:cs="宋体"/>
          <w:sz w:val="24"/>
          <w:szCs w:val="24"/>
        </w:rPr>
      </w:pPr>
      <w:r>
        <w:rPr>
          <w:rFonts w:hint="eastAsia" w:ascii="宋体" w:hAnsi="宋体" w:eastAsia="宋体" w:cs="宋体"/>
          <w:sz w:val="24"/>
          <w:szCs w:val="24"/>
        </w:rPr>
        <w:t>（33）远程会诊功能，与数字病理远程会诊平台无缝对接，可一键同步病理信息，发起远程会诊</w:t>
      </w:r>
    </w:p>
    <w:p>
      <w:pPr>
        <w:spacing w:line="360" w:lineRule="auto"/>
        <w:rPr>
          <w:rFonts w:hint="eastAsia" w:ascii="宋体" w:hAnsi="宋体" w:eastAsia="宋体" w:cs="宋体"/>
          <w:sz w:val="24"/>
          <w:szCs w:val="24"/>
        </w:rPr>
      </w:pPr>
      <w:r>
        <w:rPr>
          <w:rFonts w:hint="eastAsia" w:ascii="宋体" w:hAnsi="宋体" w:eastAsia="宋体" w:cs="宋体"/>
          <w:sz w:val="24"/>
          <w:szCs w:val="24"/>
        </w:rPr>
        <w:t>（34）支持Directshow协议摄像头；</w:t>
      </w:r>
    </w:p>
    <w:p>
      <w:pPr>
        <w:spacing w:line="360" w:lineRule="auto"/>
        <w:rPr>
          <w:rFonts w:hint="eastAsia" w:ascii="宋体" w:hAnsi="宋体" w:eastAsia="宋体" w:cs="宋体"/>
          <w:sz w:val="24"/>
          <w:szCs w:val="24"/>
        </w:rPr>
      </w:pPr>
      <w:r>
        <w:rPr>
          <w:rFonts w:hint="eastAsia" w:ascii="宋体" w:hAnsi="宋体" w:eastAsia="宋体" w:cs="宋体"/>
          <w:sz w:val="24"/>
          <w:szCs w:val="24"/>
        </w:rPr>
        <w:t>（35）诊断详情页可查询同一病人的相关病例并快速切换；</w:t>
      </w:r>
    </w:p>
    <w:p>
      <w:pPr>
        <w:spacing w:line="360" w:lineRule="auto"/>
        <w:rPr>
          <w:rFonts w:hint="eastAsia" w:ascii="宋体" w:hAnsi="宋体" w:eastAsia="宋体" w:cs="宋体"/>
          <w:sz w:val="24"/>
          <w:szCs w:val="24"/>
        </w:rPr>
      </w:pPr>
      <w:r>
        <w:rPr>
          <w:rFonts w:hint="eastAsia" w:ascii="宋体" w:hAnsi="宋体" w:eastAsia="宋体" w:cs="宋体"/>
          <w:sz w:val="24"/>
          <w:szCs w:val="24"/>
        </w:rPr>
        <w:t>（36）可根据需要延迟一定时间再自动系统推送诊断结果和报告给临床；</w:t>
      </w:r>
    </w:p>
    <w:p>
      <w:pPr>
        <w:spacing w:line="360" w:lineRule="auto"/>
        <w:rPr>
          <w:rFonts w:hint="eastAsia" w:ascii="宋体" w:hAnsi="宋体" w:eastAsia="宋体" w:cs="宋体"/>
          <w:sz w:val="24"/>
          <w:szCs w:val="24"/>
        </w:rPr>
      </w:pPr>
      <w:r>
        <w:rPr>
          <w:rFonts w:hint="eastAsia" w:ascii="宋体" w:hAnsi="宋体" w:eastAsia="宋体" w:cs="宋体"/>
          <w:sz w:val="24"/>
          <w:szCs w:val="24"/>
        </w:rPr>
        <w:t>（37）支持免疫组化、特染补充报告，可查询补充报告的例数；</w:t>
      </w:r>
    </w:p>
    <w:p>
      <w:pPr>
        <w:spacing w:line="360" w:lineRule="auto"/>
        <w:rPr>
          <w:rFonts w:hint="eastAsia" w:ascii="宋体" w:hAnsi="宋体" w:eastAsia="宋体" w:cs="宋体"/>
          <w:sz w:val="24"/>
          <w:szCs w:val="24"/>
        </w:rPr>
      </w:pPr>
      <w:r>
        <w:rPr>
          <w:rFonts w:hint="eastAsia" w:ascii="宋体" w:hAnsi="宋体" w:eastAsia="宋体" w:cs="宋体"/>
          <w:sz w:val="24"/>
          <w:szCs w:val="24"/>
        </w:rPr>
        <w:t>（38）免疫组化和特染走常规补充报告流程；</w:t>
      </w:r>
    </w:p>
    <w:p>
      <w:pPr>
        <w:spacing w:line="360" w:lineRule="auto"/>
        <w:rPr>
          <w:rFonts w:hint="eastAsia" w:ascii="宋体" w:hAnsi="宋体" w:eastAsia="宋体" w:cs="宋体"/>
          <w:sz w:val="24"/>
          <w:szCs w:val="24"/>
        </w:rPr>
      </w:pPr>
      <w:r>
        <w:rPr>
          <w:rFonts w:hint="eastAsia" w:ascii="宋体" w:hAnsi="宋体" w:eastAsia="宋体" w:cs="宋体"/>
          <w:sz w:val="24"/>
          <w:szCs w:val="24"/>
        </w:rPr>
        <w:t>（39）细胞学、液基诊断可下医嘱；</w:t>
      </w:r>
    </w:p>
    <w:p>
      <w:pPr>
        <w:spacing w:line="360" w:lineRule="auto"/>
        <w:rPr>
          <w:rFonts w:hint="eastAsia" w:ascii="宋体" w:hAnsi="宋体" w:eastAsia="宋体" w:cs="宋体"/>
          <w:sz w:val="24"/>
          <w:szCs w:val="24"/>
        </w:rPr>
      </w:pPr>
      <w:r>
        <w:rPr>
          <w:rFonts w:hint="eastAsia" w:ascii="宋体" w:hAnsi="宋体" w:eastAsia="宋体" w:cs="宋体"/>
          <w:sz w:val="24"/>
          <w:szCs w:val="24"/>
        </w:rPr>
        <w:t>（40）诊断平台筛选病理增加我的未完成，我的已签发未打印；</w:t>
      </w:r>
    </w:p>
    <w:p>
      <w:pPr>
        <w:spacing w:line="360" w:lineRule="auto"/>
        <w:rPr>
          <w:rFonts w:hint="eastAsia" w:ascii="宋体" w:hAnsi="宋体" w:eastAsia="宋体" w:cs="宋体"/>
          <w:sz w:val="24"/>
          <w:szCs w:val="24"/>
        </w:rPr>
      </w:pPr>
      <w:r>
        <w:rPr>
          <w:rFonts w:hint="eastAsia" w:ascii="宋体" w:hAnsi="宋体" w:eastAsia="宋体" w:cs="宋体"/>
          <w:sz w:val="24"/>
          <w:szCs w:val="24"/>
        </w:rPr>
        <w:t>（41）液基诊断模板，根据配置关键词自动识别为阳性；</w:t>
      </w:r>
    </w:p>
    <w:p>
      <w:pPr>
        <w:spacing w:line="360" w:lineRule="auto"/>
        <w:rPr>
          <w:rFonts w:hint="eastAsia" w:ascii="宋体" w:hAnsi="宋体" w:eastAsia="宋体" w:cs="宋体"/>
          <w:sz w:val="24"/>
          <w:szCs w:val="24"/>
        </w:rPr>
      </w:pPr>
      <w:r>
        <w:rPr>
          <w:rFonts w:hint="eastAsia" w:ascii="宋体" w:hAnsi="宋体" w:eastAsia="宋体" w:cs="宋体"/>
          <w:sz w:val="24"/>
          <w:szCs w:val="24"/>
        </w:rPr>
        <w:t>（42）补打的病理报告时，系统会自动在病理报告上加上“副本”字样，水印字样支持自定义；</w:t>
      </w:r>
    </w:p>
    <w:p>
      <w:pPr>
        <w:spacing w:line="360" w:lineRule="auto"/>
        <w:rPr>
          <w:rFonts w:hint="eastAsia" w:ascii="宋体" w:hAnsi="宋体" w:eastAsia="宋体" w:cs="宋体"/>
          <w:sz w:val="24"/>
          <w:szCs w:val="24"/>
        </w:rPr>
      </w:pPr>
      <w:r>
        <w:rPr>
          <w:rFonts w:hint="eastAsia" w:ascii="宋体" w:hAnsi="宋体" w:eastAsia="宋体" w:cs="宋体"/>
          <w:sz w:val="24"/>
          <w:szCs w:val="24"/>
        </w:rPr>
        <w:t>（43）系统可记录操作人员的IP地址；</w:t>
      </w:r>
    </w:p>
    <w:p>
      <w:pPr>
        <w:spacing w:line="360" w:lineRule="auto"/>
        <w:rPr>
          <w:rFonts w:hint="eastAsia" w:ascii="宋体" w:hAnsi="宋体" w:eastAsia="宋体" w:cs="宋体"/>
          <w:sz w:val="24"/>
          <w:szCs w:val="24"/>
        </w:rPr>
      </w:pPr>
      <w:r>
        <w:rPr>
          <w:rFonts w:hint="eastAsia" w:ascii="宋体" w:hAnsi="宋体" w:eastAsia="宋体" w:cs="宋体"/>
          <w:sz w:val="24"/>
          <w:szCs w:val="24"/>
        </w:rPr>
        <w:t>（44）诊断详情可查看标本来源和病区；</w:t>
      </w:r>
    </w:p>
    <w:p>
      <w:pPr>
        <w:spacing w:line="360" w:lineRule="auto"/>
        <w:rPr>
          <w:rFonts w:hint="eastAsia" w:ascii="宋体" w:hAnsi="宋体" w:eastAsia="宋体" w:cs="宋体"/>
          <w:sz w:val="24"/>
          <w:szCs w:val="24"/>
        </w:rPr>
      </w:pPr>
      <w:r>
        <w:rPr>
          <w:rFonts w:hint="eastAsia" w:ascii="宋体" w:hAnsi="宋体" w:eastAsia="宋体" w:cs="宋体"/>
          <w:sz w:val="24"/>
          <w:szCs w:val="24"/>
        </w:rPr>
        <w:t>（45）提供动态诊断界面，支持乳腺检查；</w:t>
      </w:r>
    </w:p>
    <w:p>
      <w:pPr>
        <w:spacing w:line="360" w:lineRule="auto"/>
        <w:rPr>
          <w:rFonts w:hint="eastAsia" w:ascii="宋体" w:hAnsi="宋体" w:eastAsia="宋体" w:cs="宋体"/>
          <w:sz w:val="24"/>
          <w:szCs w:val="24"/>
        </w:rPr>
      </w:pPr>
      <w:r>
        <w:rPr>
          <w:rFonts w:hint="eastAsia" w:ascii="宋体" w:hAnsi="宋体" w:eastAsia="宋体" w:cs="宋体"/>
          <w:sz w:val="24"/>
          <w:szCs w:val="24"/>
        </w:rPr>
        <w:t>（46）镜下所见及病理诊断结果与标本名称左右部位冲突监控提示功能：如标本名称为“左颈部”，病理诊断中出现“右”，系统会自动弹窗提示；</w:t>
      </w:r>
    </w:p>
    <w:p>
      <w:pPr>
        <w:spacing w:line="360" w:lineRule="auto"/>
        <w:rPr>
          <w:rFonts w:hint="eastAsia" w:ascii="宋体" w:hAnsi="宋体" w:eastAsia="宋体" w:cs="宋体"/>
          <w:sz w:val="24"/>
          <w:szCs w:val="24"/>
        </w:rPr>
      </w:pPr>
      <w:r>
        <w:rPr>
          <w:rFonts w:hint="eastAsia" w:ascii="宋体" w:hAnsi="宋体" w:eastAsia="宋体" w:cs="宋体"/>
          <w:sz w:val="24"/>
          <w:szCs w:val="24"/>
        </w:rPr>
        <w:t>▲（47）病理诊断结果出现“癌”、“瘤”、“阳性”，系统会将字体变红进行提示；（需提供软件截图证明）</w:t>
      </w:r>
    </w:p>
    <w:p>
      <w:pPr>
        <w:spacing w:line="360" w:lineRule="auto"/>
        <w:rPr>
          <w:rFonts w:hint="eastAsia" w:ascii="宋体" w:hAnsi="宋体" w:eastAsia="宋体" w:cs="宋体"/>
          <w:sz w:val="24"/>
          <w:szCs w:val="24"/>
        </w:rPr>
      </w:pPr>
      <w:r>
        <w:rPr>
          <w:rFonts w:hint="eastAsia" w:ascii="宋体" w:hAnsi="宋体" w:eastAsia="宋体" w:cs="宋体"/>
          <w:sz w:val="24"/>
          <w:szCs w:val="24"/>
        </w:rPr>
        <w:t>（48）提供修改医生权限；</w:t>
      </w:r>
    </w:p>
    <w:p>
      <w:pPr>
        <w:spacing w:line="360" w:lineRule="auto"/>
        <w:rPr>
          <w:rFonts w:hint="eastAsia" w:ascii="宋体" w:hAnsi="宋体" w:eastAsia="宋体" w:cs="宋体"/>
          <w:sz w:val="24"/>
          <w:szCs w:val="24"/>
        </w:rPr>
      </w:pPr>
      <w:r>
        <w:rPr>
          <w:rFonts w:hint="eastAsia" w:ascii="宋体" w:hAnsi="宋体" w:eastAsia="宋体" w:cs="宋体"/>
          <w:sz w:val="24"/>
          <w:szCs w:val="24"/>
        </w:rPr>
        <w:t>（49）病理结果关键词弹窗提示，如诊断结果包含“淋巴瘤”时，则提示“诊断为淋巴瘤则LCA、CD20、CD3必有一项为阳性”；</w:t>
      </w:r>
    </w:p>
    <w:p>
      <w:pPr>
        <w:spacing w:line="360" w:lineRule="auto"/>
        <w:rPr>
          <w:rFonts w:hint="eastAsia" w:ascii="宋体" w:hAnsi="宋体" w:eastAsia="宋体" w:cs="宋体"/>
          <w:sz w:val="24"/>
          <w:szCs w:val="24"/>
        </w:rPr>
      </w:pPr>
      <w:r>
        <w:rPr>
          <w:rFonts w:hint="eastAsia" w:ascii="宋体" w:hAnsi="宋体" w:eastAsia="宋体" w:cs="宋体"/>
          <w:sz w:val="24"/>
          <w:szCs w:val="24"/>
        </w:rPr>
        <w:t>（50）系统可设置即将超期报告的预警时间。</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收费管理</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（1）根据指定条件查询病人收费明细，可修改收费状态； </w:t>
      </w:r>
    </w:p>
    <w:p>
      <w:pPr>
        <w:spacing w:line="360" w:lineRule="auto"/>
        <w:rPr>
          <w:rFonts w:hint="eastAsia" w:ascii="宋体" w:hAnsi="宋体" w:eastAsia="宋体" w:cs="宋体"/>
          <w:sz w:val="24"/>
          <w:szCs w:val="24"/>
        </w:rPr>
      </w:pPr>
      <w:r>
        <w:rPr>
          <w:rFonts w:hint="eastAsia" w:ascii="宋体" w:hAnsi="宋体" w:eastAsia="宋体" w:cs="宋体"/>
          <w:sz w:val="24"/>
          <w:szCs w:val="24"/>
        </w:rPr>
        <w:t>（2）计费标准可配置，根据病理检查的类型、标本、蜡块、医嘱等参数自动计算收费金额；</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统计工作站</w:t>
      </w:r>
    </w:p>
    <w:p>
      <w:pPr>
        <w:spacing w:line="360" w:lineRule="auto"/>
        <w:rPr>
          <w:rFonts w:hint="eastAsia" w:ascii="宋体" w:hAnsi="宋体" w:eastAsia="宋体" w:cs="宋体"/>
          <w:sz w:val="24"/>
          <w:szCs w:val="24"/>
        </w:rPr>
      </w:pPr>
      <w:r>
        <w:rPr>
          <w:rFonts w:hint="eastAsia" w:ascii="宋体" w:hAnsi="宋体" w:eastAsia="宋体" w:cs="宋体"/>
          <w:sz w:val="24"/>
          <w:szCs w:val="24"/>
        </w:rPr>
        <w:t>1、卫计委质控指标</w:t>
      </w:r>
    </w:p>
    <w:p>
      <w:pPr>
        <w:spacing w:line="360" w:lineRule="auto"/>
        <w:rPr>
          <w:rFonts w:hint="eastAsia" w:ascii="宋体" w:hAnsi="宋体" w:eastAsia="宋体" w:cs="宋体"/>
          <w:sz w:val="24"/>
          <w:szCs w:val="24"/>
        </w:rPr>
      </w:pPr>
      <w:r>
        <w:rPr>
          <w:rFonts w:hint="eastAsia" w:ascii="宋体" w:hAnsi="宋体" w:eastAsia="宋体" w:cs="宋体"/>
          <w:sz w:val="24"/>
          <w:szCs w:val="24"/>
        </w:rPr>
        <w:t>（1）标本规范化固定率统计；</w:t>
      </w:r>
    </w:p>
    <w:p>
      <w:pPr>
        <w:spacing w:line="360" w:lineRule="auto"/>
        <w:rPr>
          <w:rFonts w:hint="eastAsia" w:ascii="宋体" w:hAnsi="宋体" w:eastAsia="宋体" w:cs="宋体"/>
          <w:sz w:val="24"/>
          <w:szCs w:val="24"/>
        </w:rPr>
      </w:pPr>
      <w:r>
        <w:rPr>
          <w:rFonts w:hint="eastAsia" w:ascii="宋体" w:hAnsi="宋体" w:eastAsia="宋体" w:cs="宋体"/>
          <w:sz w:val="24"/>
          <w:szCs w:val="24"/>
        </w:rPr>
        <w:t>（2）HE染色切片优良率统计，可查看各技师切片的评价等级（优秀、良好、合格、不合格）及缺陷类型；</w:t>
      </w:r>
    </w:p>
    <w:p>
      <w:pPr>
        <w:spacing w:line="360" w:lineRule="auto"/>
        <w:rPr>
          <w:rFonts w:hint="eastAsia" w:ascii="宋体" w:hAnsi="宋体" w:eastAsia="宋体" w:cs="宋体"/>
          <w:sz w:val="24"/>
          <w:szCs w:val="24"/>
        </w:rPr>
      </w:pPr>
      <w:r>
        <w:rPr>
          <w:rFonts w:hint="eastAsia" w:ascii="宋体" w:hAnsi="宋体" w:eastAsia="宋体" w:cs="宋体"/>
          <w:sz w:val="24"/>
          <w:szCs w:val="24"/>
        </w:rPr>
        <w:t>（3）免疫组化切片染色优良率统计，可查看各技师切片的评价等级（优秀、良好、合格、不合格）及缺陷类型；</w:t>
      </w:r>
    </w:p>
    <w:p>
      <w:pPr>
        <w:spacing w:line="360" w:lineRule="auto"/>
        <w:rPr>
          <w:rFonts w:hint="eastAsia" w:ascii="宋体" w:hAnsi="宋体" w:eastAsia="宋体" w:cs="宋体"/>
          <w:sz w:val="24"/>
          <w:szCs w:val="24"/>
        </w:rPr>
      </w:pPr>
      <w:r>
        <w:rPr>
          <w:rFonts w:hint="eastAsia" w:ascii="宋体" w:hAnsi="宋体" w:eastAsia="宋体" w:cs="宋体"/>
          <w:sz w:val="24"/>
          <w:szCs w:val="24"/>
        </w:rPr>
        <w:t>（4）术中快速病理诊断及时率统计，可根据时间统计诊断报告及时率和延迟原因情况；</w:t>
      </w:r>
    </w:p>
    <w:p>
      <w:pPr>
        <w:spacing w:line="360" w:lineRule="auto"/>
        <w:rPr>
          <w:rFonts w:hint="eastAsia" w:ascii="宋体" w:hAnsi="宋体" w:eastAsia="宋体" w:cs="宋体"/>
          <w:sz w:val="24"/>
          <w:szCs w:val="24"/>
        </w:rPr>
      </w:pPr>
      <w:r>
        <w:rPr>
          <w:rFonts w:hint="eastAsia" w:ascii="宋体" w:hAnsi="宋体" w:eastAsia="宋体" w:cs="宋体"/>
          <w:sz w:val="24"/>
          <w:szCs w:val="24"/>
        </w:rPr>
        <w:t>（5）组织病理诊断及时率统计，可根据时间统计诊断报告及时率和延迟原因情况；</w:t>
      </w:r>
    </w:p>
    <w:p>
      <w:pPr>
        <w:spacing w:line="360" w:lineRule="auto"/>
        <w:rPr>
          <w:rFonts w:hint="eastAsia" w:ascii="宋体" w:hAnsi="宋体" w:eastAsia="宋体" w:cs="宋体"/>
          <w:sz w:val="24"/>
          <w:szCs w:val="24"/>
        </w:rPr>
      </w:pPr>
      <w:r>
        <w:rPr>
          <w:rFonts w:hint="eastAsia" w:ascii="宋体" w:hAnsi="宋体" w:eastAsia="宋体" w:cs="宋体"/>
          <w:sz w:val="24"/>
          <w:szCs w:val="24"/>
        </w:rPr>
        <w:t>（6）细胞病理诊断及时率统计，可根据时间统计诊断报告及时率，快速查看超时病例总数和延迟原因情况；</w:t>
      </w:r>
    </w:p>
    <w:p>
      <w:pPr>
        <w:spacing w:line="360" w:lineRule="auto"/>
        <w:rPr>
          <w:rFonts w:hint="eastAsia" w:ascii="宋体" w:hAnsi="宋体" w:eastAsia="宋体" w:cs="宋体"/>
          <w:sz w:val="24"/>
          <w:szCs w:val="24"/>
        </w:rPr>
      </w:pPr>
      <w:r>
        <w:rPr>
          <w:rFonts w:hint="eastAsia" w:ascii="宋体" w:hAnsi="宋体" w:eastAsia="宋体" w:cs="宋体"/>
          <w:sz w:val="24"/>
          <w:szCs w:val="24"/>
        </w:rPr>
        <w:t>2、符合率统计</w:t>
      </w:r>
    </w:p>
    <w:p>
      <w:pPr>
        <w:spacing w:line="360" w:lineRule="auto"/>
        <w:rPr>
          <w:rFonts w:hint="eastAsia" w:ascii="宋体" w:hAnsi="宋体" w:eastAsia="宋体" w:cs="宋体"/>
          <w:sz w:val="24"/>
          <w:szCs w:val="24"/>
        </w:rPr>
      </w:pPr>
      <w:r>
        <w:rPr>
          <w:rFonts w:hint="eastAsia" w:ascii="宋体" w:hAnsi="宋体" w:eastAsia="宋体" w:cs="宋体"/>
          <w:sz w:val="24"/>
          <w:szCs w:val="24"/>
        </w:rPr>
        <w:t>（1）统计病例符合率的情况，可统计冰冻符合率、临床诊断符合率、外院会诊符合率、液基诊断符合率、恶性肿瘤数、细胞学阳性率等；</w:t>
      </w:r>
    </w:p>
    <w:p>
      <w:pPr>
        <w:spacing w:line="360" w:lineRule="auto"/>
        <w:rPr>
          <w:rFonts w:hint="eastAsia" w:ascii="宋体" w:hAnsi="宋体" w:eastAsia="宋体" w:cs="宋体"/>
          <w:sz w:val="24"/>
          <w:szCs w:val="24"/>
        </w:rPr>
      </w:pPr>
      <w:r>
        <w:rPr>
          <w:rFonts w:hint="eastAsia" w:ascii="宋体" w:hAnsi="宋体" w:eastAsia="宋体" w:cs="宋体"/>
          <w:sz w:val="24"/>
          <w:szCs w:val="24"/>
        </w:rPr>
        <w:t>（2）冰冻符合率可双击查看病例详情；</w:t>
      </w:r>
    </w:p>
    <w:p>
      <w:pPr>
        <w:spacing w:line="360" w:lineRule="auto"/>
        <w:rPr>
          <w:rFonts w:hint="eastAsia" w:ascii="宋体" w:hAnsi="宋体" w:eastAsia="宋体" w:cs="宋体"/>
          <w:sz w:val="24"/>
          <w:szCs w:val="24"/>
        </w:rPr>
      </w:pPr>
      <w:r>
        <w:rPr>
          <w:rFonts w:hint="eastAsia" w:ascii="宋体" w:hAnsi="宋体" w:eastAsia="宋体" w:cs="宋体"/>
          <w:sz w:val="24"/>
          <w:szCs w:val="24"/>
        </w:rPr>
        <w:t>（2）可统计冰冻危急值。</w:t>
      </w:r>
    </w:p>
    <w:p>
      <w:pPr>
        <w:spacing w:line="360" w:lineRule="auto"/>
        <w:rPr>
          <w:rFonts w:hint="eastAsia" w:ascii="宋体" w:hAnsi="宋体" w:eastAsia="宋体" w:cs="宋体"/>
          <w:sz w:val="24"/>
          <w:szCs w:val="24"/>
        </w:rPr>
      </w:pPr>
      <w:r>
        <w:rPr>
          <w:rFonts w:hint="eastAsia" w:ascii="宋体" w:hAnsi="宋体" w:eastAsia="宋体" w:cs="宋体"/>
          <w:sz w:val="24"/>
          <w:szCs w:val="24"/>
        </w:rPr>
        <w:t>3、工作量统计</w:t>
      </w:r>
    </w:p>
    <w:p>
      <w:pPr>
        <w:spacing w:line="360" w:lineRule="auto"/>
        <w:rPr>
          <w:rFonts w:hint="eastAsia" w:ascii="宋体" w:hAnsi="宋体" w:eastAsia="宋体" w:cs="宋体"/>
          <w:sz w:val="24"/>
          <w:szCs w:val="24"/>
        </w:rPr>
      </w:pPr>
      <w:r>
        <w:rPr>
          <w:rFonts w:hint="eastAsia" w:ascii="宋体" w:hAnsi="宋体" w:eastAsia="宋体" w:cs="宋体"/>
          <w:sz w:val="24"/>
          <w:szCs w:val="24"/>
        </w:rPr>
        <w:t>▲（1）统计技师与医师工作量，包含取材数、描写数、包埋数、切片数、捞片数、诊断数、免疫组化医嘱数等；（需提供软件截图证明）</w:t>
      </w:r>
    </w:p>
    <w:p>
      <w:pPr>
        <w:spacing w:line="360" w:lineRule="auto"/>
        <w:rPr>
          <w:rFonts w:hint="eastAsia" w:ascii="宋体" w:hAnsi="宋体" w:eastAsia="宋体" w:cs="宋体"/>
          <w:sz w:val="24"/>
          <w:szCs w:val="24"/>
        </w:rPr>
      </w:pPr>
      <w:r>
        <w:rPr>
          <w:rFonts w:hint="eastAsia" w:ascii="宋体" w:hAnsi="宋体" w:eastAsia="宋体" w:cs="宋体"/>
          <w:sz w:val="24"/>
          <w:szCs w:val="24"/>
        </w:rPr>
        <w:t>（2）可根据送检科室、送检医生、送检医院统计送检的标本数量；</w:t>
      </w:r>
    </w:p>
    <w:p>
      <w:pPr>
        <w:spacing w:line="360" w:lineRule="auto"/>
        <w:rPr>
          <w:rFonts w:hint="eastAsia" w:ascii="宋体" w:hAnsi="宋体" w:eastAsia="宋体" w:cs="宋体"/>
          <w:sz w:val="24"/>
          <w:szCs w:val="24"/>
        </w:rPr>
      </w:pPr>
      <w:r>
        <w:rPr>
          <w:rFonts w:hint="eastAsia" w:ascii="宋体" w:hAnsi="宋体" w:eastAsia="宋体" w:cs="宋体"/>
          <w:sz w:val="24"/>
          <w:szCs w:val="24"/>
        </w:rPr>
        <w:t>（3）科室工作量，按送检类型统计病例数、蜡块数、切片数。</w:t>
      </w:r>
    </w:p>
    <w:p>
      <w:pPr>
        <w:spacing w:line="360" w:lineRule="auto"/>
        <w:rPr>
          <w:rFonts w:hint="eastAsia" w:ascii="宋体" w:hAnsi="宋体" w:eastAsia="宋体" w:cs="宋体"/>
          <w:sz w:val="24"/>
          <w:szCs w:val="24"/>
        </w:rPr>
      </w:pPr>
      <w:r>
        <w:rPr>
          <w:rFonts w:hint="eastAsia" w:ascii="宋体" w:hAnsi="宋体" w:eastAsia="宋体" w:cs="宋体"/>
          <w:sz w:val="24"/>
          <w:szCs w:val="24"/>
        </w:rPr>
        <w:t>4、诊断及时率和评价相关</w:t>
      </w:r>
    </w:p>
    <w:p>
      <w:pPr>
        <w:spacing w:line="360" w:lineRule="auto"/>
        <w:rPr>
          <w:rFonts w:hint="eastAsia" w:ascii="宋体" w:hAnsi="宋体" w:eastAsia="宋体" w:cs="宋体"/>
          <w:sz w:val="24"/>
          <w:szCs w:val="24"/>
        </w:rPr>
      </w:pPr>
      <w:r>
        <w:rPr>
          <w:rFonts w:hint="eastAsia" w:ascii="宋体" w:hAnsi="宋体" w:eastAsia="宋体" w:cs="宋体"/>
          <w:sz w:val="24"/>
          <w:szCs w:val="24"/>
        </w:rPr>
        <w:t>（1）标本统计可快速查看病例的蜡块数量、蜡块子号、取材人、描写人、包埋人、玻片数量、玻片编号、切片人；</w:t>
      </w:r>
    </w:p>
    <w:p>
      <w:pPr>
        <w:spacing w:line="360" w:lineRule="auto"/>
        <w:rPr>
          <w:rFonts w:hint="eastAsia" w:ascii="宋体" w:hAnsi="宋体" w:eastAsia="宋体" w:cs="宋体"/>
          <w:sz w:val="24"/>
          <w:szCs w:val="24"/>
        </w:rPr>
      </w:pPr>
      <w:r>
        <w:rPr>
          <w:rFonts w:hint="eastAsia" w:ascii="宋体" w:hAnsi="宋体" w:eastAsia="宋体" w:cs="宋体"/>
          <w:sz w:val="24"/>
          <w:szCs w:val="24"/>
        </w:rPr>
        <w:t>（2）诊断及时率统计可根据时间统计诊断报告及时率和延迟原因情况，提供筛选诊断不及时的病例；</w:t>
      </w:r>
    </w:p>
    <w:p>
      <w:pPr>
        <w:spacing w:line="360" w:lineRule="auto"/>
        <w:rPr>
          <w:rFonts w:hint="eastAsia" w:ascii="宋体" w:hAnsi="宋体" w:eastAsia="宋体" w:cs="宋体"/>
          <w:sz w:val="24"/>
          <w:szCs w:val="24"/>
        </w:rPr>
      </w:pPr>
      <w:r>
        <w:rPr>
          <w:rFonts w:hint="eastAsia" w:ascii="宋体" w:hAnsi="宋体" w:eastAsia="宋体" w:cs="宋体"/>
          <w:sz w:val="24"/>
          <w:szCs w:val="24"/>
        </w:rPr>
        <w:t>（3）取材优良率统计，可统计医师取材的评价等级（优秀、良好、合格、不合格）及缺陷类型；</w:t>
      </w:r>
    </w:p>
    <w:p>
      <w:pPr>
        <w:spacing w:line="360" w:lineRule="auto"/>
        <w:rPr>
          <w:rFonts w:hint="eastAsia" w:ascii="宋体" w:hAnsi="宋体" w:eastAsia="宋体" w:cs="宋体"/>
          <w:sz w:val="24"/>
          <w:szCs w:val="24"/>
        </w:rPr>
      </w:pPr>
      <w:r>
        <w:rPr>
          <w:rFonts w:hint="eastAsia" w:ascii="宋体" w:hAnsi="宋体" w:eastAsia="宋体" w:cs="宋体"/>
          <w:sz w:val="24"/>
          <w:szCs w:val="24"/>
        </w:rPr>
        <w:t>（4）包埋优良率统计，可统计技师包埋的评价等级（优秀、良好、合格、不合格）及缺陷类型；</w:t>
      </w:r>
    </w:p>
    <w:p>
      <w:pPr>
        <w:spacing w:line="360" w:lineRule="auto"/>
        <w:rPr>
          <w:rFonts w:hint="eastAsia" w:ascii="宋体" w:hAnsi="宋体" w:eastAsia="宋体" w:cs="宋体"/>
          <w:sz w:val="24"/>
          <w:szCs w:val="24"/>
        </w:rPr>
      </w:pPr>
      <w:r>
        <w:rPr>
          <w:rFonts w:hint="eastAsia" w:ascii="宋体" w:hAnsi="宋体" w:eastAsia="宋体" w:cs="宋体"/>
          <w:sz w:val="24"/>
          <w:szCs w:val="24"/>
        </w:rPr>
        <w:t>5、其它</w:t>
      </w:r>
    </w:p>
    <w:p>
      <w:pPr>
        <w:spacing w:line="360" w:lineRule="auto"/>
        <w:rPr>
          <w:rFonts w:hint="eastAsia" w:ascii="宋体" w:hAnsi="宋体" w:eastAsia="宋体" w:cs="宋体"/>
          <w:sz w:val="24"/>
          <w:szCs w:val="24"/>
        </w:rPr>
      </w:pPr>
      <w:r>
        <w:rPr>
          <w:rFonts w:hint="eastAsia" w:ascii="宋体" w:hAnsi="宋体" w:eastAsia="宋体" w:cs="宋体"/>
          <w:sz w:val="24"/>
          <w:szCs w:val="24"/>
        </w:rPr>
        <w:t>▲（1）统计送检标本是否合格，包含送检病例数、标本数、退回标本数、合格率等；</w:t>
      </w:r>
    </w:p>
    <w:p>
      <w:pPr>
        <w:spacing w:line="360" w:lineRule="auto"/>
        <w:rPr>
          <w:rFonts w:hint="eastAsia" w:ascii="宋体" w:hAnsi="宋体" w:eastAsia="宋体" w:cs="宋体"/>
          <w:sz w:val="24"/>
          <w:szCs w:val="24"/>
        </w:rPr>
      </w:pPr>
      <w:r>
        <w:rPr>
          <w:rFonts w:hint="eastAsia" w:ascii="宋体" w:hAnsi="宋体" w:eastAsia="宋体" w:cs="宋体"/>
          <w:sz w:val="24"/>
          <w:szCs w:val="24"/>
        </w:rPr>
        <w:t>（2）沟通登记可记录病理科与临床的沟通事件和沟通结果；</w:t>
      </w:r>
    </w:p>
    <w:p>
      <w:pPr>
        <w:spacing w:line="360" w:lineRule="auto"/>
        <w:rPr>
          <w:rFonts w:hint="eastAsia" w:ascii="宋体" w:hAnsi="宋体" w:eastAsia="宋体" w:cs="宋体"/>
          <w:sz w:val="24"/>
          <w:szCs w:val="24"/>
        </w:rPr>
      </w:pPr>
      <w:r>
        <w:rPr>
          <w:rFonts w:hint="eastAsia" w:ascii="宋体" w:hAnsi="宋体" w:eastAsia="宋体" w:cs="宋体"/>
          <w:sz w:val="24"/>
          <w:szCs w:val="24"/>
        </w:rPr>
        <w:t>（3）质控查询可查看病例各个环节的完成起止时间等；</w:t>
      </w:r>
    </w:p>
    <w:p>
      <w:pPr>
        <w:spacing w:line="360" w:lineRule="auto"/>
        <w:rPr>
          <w:rFonts w:hint="eastAsia" w:ascii="宋体" w:hAnsi="宋体" w:eastAsia="宋体" w:cs="宋体"/>
          <w:sz w:val="24"/>
          <w:szCs w:val="24"/>
        </w:rPr>
      </w:pPr>
      <w:r>
        <w:rPr>
          <w:rFonts w:hint="eastAsia" w:ascii="宋体" w:hAnsi="宋体" w:eastAsia="宋体" w:cs="宋体"/>
          <w:sz w:val="24"/>
          <w:szCs w:val="24"/>
        </w:rPr>
        <w:t>（4）统计各送检类型、送检科室拒收标本原因和处理结果；</w:t>
      </w:r>
    </w:p>
    <w:p>
      <w:pPr>
        <w:spacing w:line="360" w:lineRule="auto"/>
        <w:rPr>
          <w:rFonts w:hint="eastAsia" w:ascii="宋体" w:hAnsi="宋体" w:eastAsia="宋体" w:cs="宋体"/>
          <w:sz w:val="24"/>
          <w:szCs w:val="24"/>
        </w:rPr>
      </w:pPr>
      <w:r>
        <w:rPr>
          <w:rFonts w:hint="eastAsia" w:ascii="宋体" w:hAnsi="宋体" w:eastAsia="宋体" w:cs="宋体"/>
          <w:sz w:val="24"/>
          <w:szCs w:val="24"/>
        </w:rPr>
        <w:t>（5）差错事故登记可记录科室内差错事故原因、整改结果和处理方式。</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档案管理工作站</w:t>
      </w:r>
    </w:p>
    <w:p>
      <w:pPr>
        <w:spacing w:line="360" w:lineRule="auto"/>
        <w:rPr>
          <w:rFonts w:hint="eastAsia" w:ascii="宋体" w:hAnsi="宋体" w:eastAsia="宋体" w:cs="宋体"/>
          <w:sz w:val="24"/>
          <w:szCs w:val="24"/>
        </w:rPr>
      </w:pPr>
      <w:r>
        <w:rPr>
          <w:rFonts w:hint="eastAsia" w:ascii="宋体" w:hAnsi="宋体" w:eastAsia="宋体" w:cs="宋体"/>
          <w:sz w:val="24"/>
          <w:szCs w:val="24"/>
        </w:rPr>
        <w:t>1、归档柜管理</w:t>
      </w:r>
    </w:p>
    <w:p>
      <w:pPr>
        <w:spacing w:line="360" w:lineRule="auto"/>
        <w:rPr>
          <w:rFonts w:hint="eastAsia" w:ascii="宋体" w:hAnsi="宋体" w:eastAsia="宋体" w:cs="宋体"/>
          <w:sz w:val="24"/>
          <w:szCs w:val="24"/>
        </w:rPr>
      </w:pPr>
      <w:r>
        <w:rPr>
          <w:rFonts w:hint="eastAsia" w:ascii="宋体" w:hAnsi="宋体" w:eastAsia="宋体" w:cs="宋体"/>
          <w:sz w:val="24"/>
          <w:szCs w:val="24"/>
        </w:rPr>
        <w:t>（1）提供层级式的归档柜管理功能，分区域、柜子、层级、抽屉等；</w:t>
      </w:r>
    </w:p>
    <w:p>
      <w:pPr>
        <w:spacing w:line="360" w:lineRule="auto"/>
        <w:rPr>
          <w:rFonts w:hint="eastAsia" w:ascii="宋体" w:hAnsi="宋体" w:eastAsia="宋体" w:cs="宋体"/>
          <w:sz w:val="24"/>
          <w:szCs w:val="24"/>
        </w:rPr>
      </w:pPr>
      <w:r>
        <w:rPr>
          <w:rFonts w:hint="eastAsia" w:ascii="宋体" w:hAnsi="宋体" w:eastAsia="宋体" w:cs="宋体"/>
          <w:sz w:val="24"/>
          <w:szCs w:val="24"/>
        </w:rPr>
        <w:t>（2）提供归档柜库存容量查询并即时更新，可实时查看归档柜剩余容量；</w:t>
      </w:r>
    </w:p>
    <w:p>
      <w:pPr>
        <w:spacing w:line="360" w:lineRule="auto"/>
        <w:rPr>
          <w:rFonts w:hint="eastAsia" w:ascii="宋体" w:hAnsi="宋体" w:eastAsia="宋体" w:cs="宋体"/>
          <w:sz w:val="24"/>
          <w:szCs w:val="24"/>
        </w:rPr>
      </w:pPr>
      <w:r>
        <w:rPr>
          <w:rFonts w:hint="eastAsia" w:ascii="宋体" w:hAnsi="宋体" w:eastAsia="宋体" w:cs="宋体"/>
          <w:sz w:val="24"/>
          <w:szCs w:val="24"/>
        </w:rPr>
        <w:t>（3）提供批量新增、一键折叠、一键展开功能，方便使用。</w:t>
      </w:r>
    </w:p>
    <w:p>
      <w:pPr>
        <w:spacing w:line="360" w:lineRule="auto"/>
        <w:rPr>
          <w:rFonts w:hint="eastAsia" w:ascii="宋体" w:hAnsi="宋体" w:eastAsia="宋体" w:cs="宋体"/>
          <w:sz w:val="24"/>
          <w:szCs w:val="24"/>
        </w:rPr>
      </w:pPr>
      <w:r>
        <w:rPr>
          <w:rFonts w:hint="eastAsia" w:ascii="宋体" w:hAnsi="宋体" w:eastAsia="宋体" w:cs="宋体"/>
          <w:sz w:val="24"/>
          <w:szCs w:val="24"/>
        </w:rPr>
        <w:t>2、申请单归档</w:t>
      </w:r>
    </w:p>
    <w:p>
      <w:pPr>
        <w:spacing w:line="360" w:lineRule="auto"/>
        <w:rPr>
          <w:rFonts w:hint="eastAsia" w:ascii="宋体" w:hAnsi="宋体" w:eastAsia="宋体" w:cs="宋体"/>
          <w:sz w:val="24"/>
          <w:szCs w:val="24"/>
        </w:rPr>
      </w:pPr>
      <w:r>
        <w:rPr>
          <w:rFonts w:hint="eastAsia" w:ascii="宋体" w:hAnsi="宋体" w:eastAsia="宋体" w:cs="宋体"/>
          <w:sz w:val="24"/>
          <w:szCs w:val="24"/>
        </w:rPr>
        <w:t>（1）批量归档，智能根据归档柜类型、容量等信息选择判断归档位置，归档柜自动显示剩余容量;</w:t>
      </w:r>
    </w:p>
    <w:p>
      <w:pPr>
        <w:spacing w:line="360" w:lineRule="auto"/>
        <w:rPr>
          <w:rFonts w:hint="eastAsia" w:ascii="宋体" w:hAnsi="宋体" w:eastAsia="宋体" w:cs="宋体"/>
          <w:sz w:val="24"/>
          <w:szCs w:val="24"/>
        </w:rPr>
      </w:pPr>
      <w:r>
        <w:rPr>
          <w:rFonts w:hint="eastAsia" w:ascii="宋体" w:hAnsi="宋体" w:eastAsia="宋体" w:cs="宋体"/>
          <w:sz w:val="24"/>
          <w:szCs w:val="24"/>
        </w:rPr>
        <w:t>（2）提供申请单异常登记功能，可批量登记;</w:t>
      </w:r>
    </w:p>
    <w:p>
      <w:pPr>
        <w:spacing w:line="360" w:lineRule="auto"/>
        <w:rPr>
          <w:rFonts w:hint="eastAsia" w:ascii="宋体" w:hAnsi="宋体" w:eastAsia="宋体" w:cs="宋体"/>
          <w:sz w:val="24"/>
          <w:szCs w:val="24"/>
        </w:rPr>
      </w:pPr>
      <w:r>
        <w:rPr>
          <w:rFonts w:hint="eastAsia" w:ascii="宋体" w:hAnsi="宋体" w:eastAsia="宋体" w:cs="宋体"/>
          <w:sz w:val="24"/>
          <w:szCs w:val="24"/>
        </w:rPr>
        <w:t>（3）提供申请单归档历史查询功能，可根据不同条件过滤数据;</w:t>
      </w:r>
    </w:p>
    <w:p>
      <w:pPr>
        <w:spacing w:line="360" w:lineRule="auto"/>
        <w:rPr>
          <w:rFonts w:hint="eastAsia" w:ascii="宋体" w:hAnsi="宋体" w:eastAsia="宋体" w:cs="宋体"/>
          <w:sz w:val="24"/>
          <w:szCs w:val="24"/>
        </w:rPr>
      </w:pPr>
      <w:r>
        <w:rPr>
          <w:rFonts w:hint="eastAsia" w:ascii="宋体" w:hAnsi="宋体" w:eastAsia="宋体" w:cs="宋体"/>
          <w:sz w:val="24"/>
          <w:szCs w:val="24"/>
        </w:rPr>
        <w:t>（4）提供导出功能，可一键导出申请单数据；</w:t>
      </w:r>
    </w:p>
    <w:p>
      <w:pPr>
        <w:spacing w:line="360" w:lineRule="auto"/>
        <w:rPr>
          <w:rFonts w:hint="eastAsia" w:ascii="宋体" w:hAnsi="宋体" w:eastAsia="宋体" w:cs="宋体"/>
          <w:sz w:val="24"/>
          <w:szCs w:val="24"/>
        </w:rPr>
      </w:pPr>
      <w:r>
        <w:rPr>
          <w:rFonts w:hint="eastAsia" w:ascii="宋体" w:hAnsi="宋体" w:eastAsia="宋体" w:cs="宋体"/>
          <w:sz w:val="24"/>
          <w:szCs w:val="24"/>
        </w:rPr>
        <w:t>（5）提供扫码归档功能；</w:t>
      </w:r>
    </w:p>
    <w:p>
      <w:pPr>
        <w:spacing w:line="360" w:lineRule="auto"/>
        <w:rPr>
          <w:rFonts w:hint="eastAsia" w:ascii="宋体" w:hAnsi="宋体" w:eastAsia="宋体" w:cs="宋体"/>
          <w:sz w:val="24"/>
          <w:szCs w:val="24"/>
        </w:rPr>
      </w:pPr>
      <w:r>
        <w:rPr>
          <w:rFonts w:hint="eastAsia" w:ascii="宋体" w:hAnsi="宋体" w:eastAsia="宋体" w:cs="宋体"/>
          <w:sz w:val="24"/>
          <w:szCs w:val="24"/>
        </w:rPr>
        <w:t>3、蜡块归档</w:t>
      </w:r>
    </w:p>
    <w:p>
      <w:pPr>
        <w:spacing w:line="360" w:lineRule="auto"/>
        <w:rPr>
          <w:rFonts w:hint="eastAsia" w:ascii="宋体" w:hAnsi="宋体" w:eastAsia="宋体" w:cs="宋体"/>
          <w:sz w:val="24"/>
          <w:szCs w:val="24"/>
        </w:rPr>
      </w:pPr>
      <w:r>
        <w:rPr>
          <w:rFonts w:hint="eastAsia" w:ascii="宋体" w:hAnsi="宋体" w:eastAsia="宋体" w:cs="宋体"/>
          <w:sz w:val="24"/>
          <w:szCs w:val="24"/>
        </w:rPr>
        <w:t>（1）批量归档，智能根据归档柜类型、容量等信息选择判断归档位置，归档柜自动显示剩余容量；</w:t>
      </w:r>
    </w:p>
    <w:p>
      <w:pPr>
        <w:spacing w:line="360" w:lineRule="auto"/>
        <w:rPr>
          <w:rFonts w:hint="eastAsia" w:ascii="宋体" w:hAnsi="宋体" w:eastAsia="宋体" w:cs="宋体"/>
          <w:sz w:val="24"/>
          <w:szCs w:val="24"/>
        </w:rPr>
      </w:pPr>
      <w:r>
        <w:rPr>
          <w:rFonts w:hint="eastAsia" w:ascii="宋体" w:hAnsi="宋体" w:eastAsia="宋体" w:cs="宋体"/>
          <w:sz w:val="24"/>
          <w:szCs w:val="24"/>
        </w:rPr>
        <w:t>（2）提供蜡块异常登记功能，可批量登记；</w:t>
      </w:r>
    </w:p>
    <w:p>
      <w:pPr>
        <w:spacing w:line="360" w:lineRule="auto"/>
        <w:rPr>
          <w:rFonts w:hint="eastAsia" w:ascii="宋体" w:hAnsi="宋体" w:eastAsia="宋体" w:cs="宋体"/>
          <w:sz w:val="24"/>
          <w:szCs w:val="24"/>
        </w:rPr>
      </w:pPr>
      <w:r>
        <w:rPr>
          <w:rFonts w:hint="eastAsia" w:ascii="宋体" w:hAnsi="宋体" w:eastAsia="宋体" w:cs="宋体"/>
          <w:sz w:val="24"/>
          <w:szCs w:val="24"/>
        </w:rPr>
        <w:t>（3）提供蜡块归档历史查询功能，可根据不过条件过滤数据；</w:t>
      </w:r>
    </w:p>
    <w:p>
      <w:pPr>
        <w:spacing w:line="360" w:lineRule="auto"/>
        <w:rPr>
          <w:rFonts w:hint="eastAsia" w:ascii="宋体" w:hAnsi="宋体" w:eastAsia="宋体" w:cs="宋体"/>
          <w:sz w:val="24"/>
          <w:szCs w:val="24"/>
        </w:rPr>
      </w:pPr>
      <w:r>
        <w:rPr>
          <w:rFonts w:hint="eastAsia" w:ascii="宋体" w:hAnsi="宋体" w:eastAsia="宋体" w:cs="宋体"/>
          <w:sz w:val="24"/>
          <w:szCs w:val="24"/>
        </w:rPr>
        <w:t>（4）提供导出功能。</w:t>
      </w:r>
    </w:p>
    <w:p>
      <w:pPr>
        <w:spacing w:line="360" w:lineRule="auto"/>
        <w:rPr>
          <w:rFonts w:hint="eastAsia" w:ascii="宋体" w:hAnsi="宋体" w:eastAsia="宋体" w:cs="宋体"/>
          <w:sz w:val="24"/>
          <w:szCs w:val="24"/>
        </w:rPr>
      </w:pPr>
      <w:r>
        <w:rPr>
          <w:rFonts w:hint="eastAsia" w:ascii="宋体" w:hAnsi="宋体" w:eastAsia="宋体" w:cs="宋体"/>
          <w:sz w:val="24"/>
          <w:szCs w:val="24"/>
        </w:rPr>
        <w:t>（5）提供扫码归档功能；</w:t>
      </w:r>
    </w:p>
    <w:p>
      <w:pPr>
        <w:spacing w:line="360" w:lineRule="auto"/>
        <w:rPr>
          <w:rFonts w:hint="eastAsia" w:ascii="宋体" w:hAnsi="宋体" w:eastAsia="宋体" w:cs="宋体"/>
          <w:sz w:val="24"/>
          <w:szCs w:val="24"/>
        </w:rPr>
      </w:pPr>
      <w:r>
        <w:rPr>
          <w:rFonts w:hint="eastAsia" w:ascii="宋体" w:hAnsi="宋体" w:eastAsia="宋体" w:cs="宋体"/>
          <w:sz w:val="24"/>
          <w:szCs w:val="24"/>
        </w:rPr>
        <w:t>4、玻片归档</w:t>
      </w:r>
    </w:p>
    <w:p>
      <w:pPr>
        <w:spacing w:line="360" w:lineRule="auto"/>
        <w:rPr>
          <w:rFonts w:hint="eastAsia" w:ascii="宋体" w:hAnsi="宋体" w:eastAsia="宋体" w:cs="宋体"/>
          <w:sz w:val="24"/>
          <w:szCs w:val="24"/>
        </w:rPr>
      </w:pPr>
      <w:r>
        <w:rPr>
          <w:rFonts w:hint="eastAsia" w:ascii="宋体" w:hAnsi="宋体" w:eastAsia="宋体" w:cs="宋体"/>
          <w:sz w:val="24"/>
          <w:szCs w:val="24"/>
        </w:rPr>
        <w:t>（1）批量归档，智能根据归档柜类型、容量等信息选择判断归档位置，归档柜自动显示剩余容量；</w:t>
      </w:r>
    </w:p>
    <w:p>
      <w:pPr>
        <w:spacing w:line="360" w:lineRule="auto"/>
        <w:rPr>
          <w:rFonts w:hint="eastAsia" w:ascii="宋体" w:hAnsi="宋体" w:eastAsia="宋体" w:cs="宋体"/>
          <w:sz w:val="24"/>
          <w:szCs w:val="24"/>
        </w:rPr>
      </w:pPr>
      <w:r>
        <w:rPr>
          <w:rFonts w:hint="eastAsia" w:ascii="宋体" w:hAnsi="宋体" w:eastAsia="宋体" w:cs="宋体"/>
          <w:sz w:val="24"/>
          <w:szCs w:val="24"/>
        </w:rPr>
        <w:t>（2）提供玻片异常登记功能，可批量登记；</w:t>
      </w:r>
    </w:p>
    <w:p>
      <w:pPr>
        <w:spacing w:line="360" w:lineRule="auto"/>
        <w:rPr>
          <w:rFonts w:hint="eastAsia" w:ascii="宋体" w:hAnsi="宋体" w:eastAsia="宋体" w:cs="宋体"/>
          <w:sz w:val="24"/>
          <w:szCs w:val="24"/>
        </w:rPr>
      </w:pPr>
      <w:r>
        <w:rPr>
          <w:rFonts w:hint="eastAsia" w:ascii="宋体" w:hAnsi="宋体" w:eastAsia="宋体" w:cs="宋体"/>
          <w:sz w:val="24"/>
          <w:szCs w:val="24"/>
        </w:rPr>
        <w:t>（3）提供玻片归档历史查询功能，可根据不过条件过滤数据；</w:t>
      </w:r>
    </w:p>
    <w:p>
      <w:pPr>
        <w:spacing w:line="360" w:lineRule="auto"/>
        <w:rPr>
          <w:rFonts w:hint="eastAsia" w:ascii="宋体" w:hAnsi="宋体" w:eastAsia="宋体" w:cs="宋体"/>
          <w:sz w:val="24"/>
          <w:szCs w:val="24"/>
        </w:rPr>
      </w:pPr>
      <w:r>
        <w:rPr>
          <w:rFonts w:hint="eastAsia" w:ascii="宋体" w:hAnsi="宋体" w:eastAsia="宋体" w:cs="宋体"/>
          <w:sz w:val="24"/>
          <w:szCs w:val="24"/>
        </w:rPr>
        <w:t>（4）提供导出功能。</w:t>
      </w:r>
    </w:p>
    <w:p>
      <w:pPr>
        <w:spacing w:line="360" w:lineRule="auto"/>
        <w:rPr>
          <w:rFonts w:hint="eastAsia" w:ascii="宋体" w:hAnsi="宋体" w:eastAsia="宋体" w:cs="宋体"/>
          <w:sz w:val="24"/>
          <w:szCs w:val="24"/>
        </w:rPr>
      </w:pPr>
      <w:r>
        <w:rPr>
          <w:rFonts w:hint="eastAsia" w:ascii="宋体" w:hAnsi="宋体" w:eastAsia="宋体" w:cs="宋体"/>
          <w:sz w:val="24"/>
          <w:szCs w:val="24"/>
        </w:rPr>
        <w:t>（5）提供扫码归档功能；</w:t>
      </w:r>
    </w:p>
    <w:p>
      <w:pPr>
        <w:spacing w:line="360" w:lineRule="auto"/>
        <w:rPr>
          <w:rFonts w:hint="eastAsia" w:ascii="宋体" w:hAnsi="宋体" w:eastAsia="宋体" w:cs="宋体"/>
          <w:sz w:val="24"/>
          <w:szCs w:val="24"/>
        </w:rPr>
      </w:pPr>
      <w:r>
        <w:rPr>
          <w:rFonts w:hint="eastAsia" w:ascii="宋体" w:hAnsi="宋体" w:eastAsia="宋体" w:cs="宋体"/>
          <w:sz w:val="24"/>
          <w:szCs w:val="24"/>
        </w:rPr>
        <w:t>5、蜡块/玻片借记</w:t>
      </w:r>
    </w:p>
    <w:p>
      <w:pPr>
        <w:spacing w:line="360" w:lineRule="auto"/>
        <w:rPr>
          <w:rFonts w:hint="eastAsia" w:ascii="宋体" w:hAnsi="宋体" w:eastAsia="宋体" w:cs="宋体"/>
          <w:sz w:val="24"/>
          <w:szCs w:val="24"/>
        </w:rPr>
      </w:pPr>
      <w:r>
        <w:rPr>
          <w:rFonts w:hint="eastAsia" w:ascii="宋体" w:hAnsi="宋体" w:eastAsia="宋体" w:cs="宋体"/>
          <w:sz w:val="24"/>
          <w:szCs w:val="24"/>
        </w:rPr>
        <w:t>（1）提供对已归档的蜡块/玻片审核、反审核、借记管理功能；</w:t>
      </w:r>
    </w:p>
    <w:p>
      <w:pPr>
        <w:spacing w:line="360" w:lineRule="auto"/>
        <w:rPr>
          <w:rFonts w:hint="eastAsia" w:ascii="宋体" w:hAnsi="宋体" w:eastAsia="宋体" w:cs="宋体"/>
          <w:sz w:val="24"/>
          <w:szCs w:val="24"/>
        </w:rPr>
      </w:pPr>
      <w:r>
        <w:rPr>
          <w:rFonts w:hint="eastAsia" w:ascii="宋体" w:hAnsi="宋体" w:eastAsia="宋体" w:cs="宋体"/>
          <w:sz w:val="24"/>
          <w:szCs w:val="24"/>
        </w:rPr>
        <w:t>（2）提供异常登记功能；</w:t>
      </w:r>
    </w:p>
    <w:p>
      <w:pPr>
        <w:spacing w:line="360" w:lineRule="auto"/>
        <w:rPr>
          <w:rFonts w:hint="eastAsia" w:ascii="宋体" w:hAnsi="宋体" w:eastAsia="宋体" w:cs="宋体"/>
          <w:sz w:val="24"/>
          <w:szCs w:val="24"/>
        </w:rPr>
      </w:pPr>
      <w:r>
        <w:rPr>
          <w:rFonts w:hint="eastAsia" w:ascii="宋体" w:hAnsi="宋体" w:eastAsia="宋体" w:cs="宋体"/>
          <w:sz w:val="24"/>
          <w:szCs w:val="24"/>
        </w:rPr>
        <w:t>（3）提供借记历史查询功能。</w:t>
      </w:r>
    </w:p>
    <w:p>
      <w:pPr>
        <w:spacing w:line="360" w:lineRule="auto"/>
        <w:rPr>
          <w:rFonts w:hint="eastAsia" w:ascii="宋体" w:hAnsi="宋体" w:eastAsia="宋体" w:cs="宋体"/>
          <w:sz w:val="24"/>
          <w:szCs w:val="24"/>
        </w:rPr>
      </w:pPr>
      <w:r>
        <w:rPr>
          <w:rFonts w:hint="eastAsia" w:ascii="宋体" w:hAnsi="宋体" w:eastAsia="宋体" w:cs="宋体"/>
          <w:sz w:val="24"/>
          <w:szCs w:val="24"/>
        </w:rPr>
        <w:t>（4）提供扫码借记功能；</w:t>
      </w:r>
    </w:p>
    <w:p>
      <w:pPr>
        <w:spacing w:line="360" w:lineRule="auto"/>
        <w:rPr>
          <w:rFonts w:hint="eastAsia" w:ascii="宋体" w:hAnsi="宋体" w:eastAsia="宋体" w:cs="宋体"/>
          <w:sz w:val="24"/>
          <w:szCs w:val="24"/>
        </w:rPr>
      </w:pPr>
      <w:r>
        <w:rPr>
          <w:rFonts w:hint="eastAsia" w:ascii="宋体" w:hAnsi="宋体" w:eastAsia="宋体" w:cs="宋体"/>
          <w:sz w:val="24"/>
          <w:szCs w:val="24"/>
        </w:rPr>
        <w:t>（5）可打印借记单。</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设备耗材管理工作站</w:t>
      </w:r>
    </w:p>
    <w:p>
      <w:pPr>
        <w:spacing w:line="360" w:lineRule="auto"/>
        <w:rPr>
          <w:rFonts w:hint="eastAsia" w:ascii="宋体" w:hAnsi="宋体" w:eastAsia="宋体" w:cs="宋体"/>
          <w:sz w:val="24"/>
          <w:szCs w:val="24"/>
        </w:rPr>
      </w:pPr>
      <w:r>
        <w:rPr>
          <w:rFonts w:hint="eastAsia" w:ascii="宋体" w:hAnsi="宋体" w:eastAsia="宋体" w:cs="宋体"/>
          <w:sz w:val="24"/>
          <w:szCs w:val="24"/>
        </w:rPr>
        <w:t>1、仪器设备管理</w:t>
      </w:r>
    </w:p>
    <w:p>
      <w:pPr>
        <w:spacing w:line="360" w:lineRule="auto"/>
        <w:rPr>
          <w:rFonts w:hint="eastAsia" w:ascii="宋体" w:hAnsi="宋体" w:eastAsia="宋体" w:cs="宋体"/>
          <w:sz w:val="24"/>
          <w:szCs w:val="24"/>
        </w:rPr>
      </w:pPr>
      <w:r>
        <w:rPr>
          <w:rFonts w:hint="eastAsia" w:ascii="宋体" w:hAnsi="宋体" w:eastAsia="宋体" w:cs="宋体"/>
          <w:sz w:val="24"/>
          <w:szCs w:val="24"/>
        </w:rPr>
        <w:t>（1）提供科室相关仪器管理，包含厂家、型号、价格、责任人等；</w:t>
      </w:r>
    </w:p>
    <w:p>
      <w:pPr>
        <w:spacing w:line="360" w:lineRule="auto"/>
        <w:rPr>
          <w:rFonts w:hint="eastAsia" w:ascii="宋体" w:hAnsi="宋体" w:eastAsia="宋体" w:cs="宋体"/>
          <w:sz w:val="24"/>
          <w:szCs w:val="24"/>
        </w:rPr>
      </w:pPr>
      <w:r>
        <w:rPr>
          <w:rFonts w:hint="eastAsia" w:ascii="宋体" w:hAnsi="宋体" w:eastAsia="宋体" w:cs="宋体"/>
          <w:sz w:val="24"/>
          <w:szCs w:val="24"/>
        </w:rPr>
        <w:t>（2）提供使用情况追踪功能，随时了解查看仪器使用情况；</w:t>
      </w:r>
    </w:p>
    <w:p>
      <w:pPr>
        <w:spacing w:line="360" w:lineRule="auto"/>
        <w:rPr>
          <w:rFonts w:hint="eastAsia" w:ascii="宋体" w:hAnsi="宋体" w:eastAsia="宋体" w:cs="宋体"/>
          <w:sz w:val="24"/>
          <w:szCs w:val="24"/>
        </w:rPr>
      </w:pPr>
      <w:r>
        <w:rPr>
          <w:rFonts w:hint="eastAsia" w:ascii="宋体" w:hAnsi="宋体" w:eastAsia="宋体" w:cs="宋体"/>
          <w:sz w:val="24"/>
          <w:szCs w:val="24"/>
        </w:rPr>
        <w:t>（3）提供设备报修登记功能。</w:t>
      </w:r>
    </w:p>
    <w:p>
      <w:pPr>
        <w:spacing w:line="360" w:lineRule="auto"/>
        <w:rPr>
          <w:rFonts w:hint="eastAsia" w:ascii="宋体" w:hAnsi="宋体" w:eastAsia="宋体" w:cs="宋体"/>
          <w:sz w:val="24"/>
          <w:szCs w:val="24"/>
        </w:rPr>
      </w:pPr>
      <w:r>
        <w:rPr>
          <w:rFonts w:hint="eastAsia" w:ascii="宋体" w:hAnsi="宋体" w:eastAsia="宋体" w:cs="宋体"/>
          <w:sz w:val="24"/>
          <w:szCs w:val="24"/>
        </w:rPr>
        <w:t>（4）试剂信息管理</w:t>
      </w:r>
    </w:p>
    <w:p>
      <w:pPr>
        <w:spacing w:line="360" w:lineRule="auto"/>
        <w:rPr>
          <w:rFonts w:hint="eastAsia" w:ascii="宋体" w:hAnsi="宋体" w:eastAsia="宋体" w:cs="宋体"/>
          <w:sz w:val="24"/>
          <w:szCs w:val="24"/>
        </w:rPr>
      </w:pPr>
      <w:r>
        <w:rPr>
          <w:rFonts w:hint="eastAsia" w:ascii="宋体" w:hAnsi="宋体" w:eastAsia="宋体" w:cs="宋体"/>
          <w:sz w:val="24"/>
          <w:szCs w:val="24"/>
        </w:rPr>
        <w:t>2、可登记科室常用试剂。</w:t>
      </w:r>
    </w:p>
    <w:p>
      <w:pPr>
        <w:spacing w:line="360" w:lineRule="auto"/>
        <w:rPr>
          <w:rFonts w:hint="eastAsia" w:ascii="宋体" w:hAnsi="宋体" w:eastAsia="宋体" w:cs="宋体"/>
          <w:sz w:val="24"/>
          <w:szCs w:val="24"/>
        </w:rPr>
      </w:pPr>
      <w:r>
        <w:rPr>
          <w:rFonts w:hint="eastAsia" w:ascii="宋体" w:hAnsi="宋体" w:eastAsia="宋体" w:cs="宋体"/>
          <w:sz w:val="24"/>
          <w:szCs w:val="24"/>
        </w:rPr>
        <w:t>（1）试剂库存管理</w:t>
      </w:r>
    </w:p>
    <w:p>
      <w:pPr>
        <w:spacing w:line="360" w:lineRule="auto"/>
        <w:rPr>
          <w:rFonts w:hint="eastAsia" w:ascii="宋体" w:hAnsi="宋体" w:eastAsia="宋体" w:cs="宋体"/>
          <w:sz w:val="24"/>
          <w:szCs w:val="24"/>
        </w:rPr>
      </w:pPr>
      <w:r>
        <w:rPr>
          <w:rFonts w:hint="eastAsia" w:ascii="宋体" w:hAnsi="宋体" w:eastAsia="宋体" w:cs="宋体"/>
          <w:sz w:val="24"/>
          <w:szCs w:val="24"/>
        </w:rPr>
        <w:t>（2）管理已登记的试剂的库存；</w:t>
      </w:r>
    </w:p>
    <w:p>
      <w:pPr>
        <w:spacing w:line="360" w:lineRule="auto"/>
        <w:rPr>
          <w:rFonts w:hint="eastAsia" w:ascii="宋体" w:hAnsi="宋体" w:eastAsia="宋体" w:cs="宋体"/>
          <w:sz w:val="24"/>
          <w:szCs w:val="24"/>
        </w:rPr>
      </w:pPr>
      <w:r>
        <w:rPr>
          <w:rFonts w:hint="eastAsia" w:ascii="宋体" w:hAnsi="宋体" w:eastAsia="宋体" w:cs="宋体"/>
          <w:sz w:val="24"/>
          <w:szCs w:val="24"/>
        </w:rPr>
        <w:t>（3）提供出入库登记，可随时查看出入库明细记录。</w:t>
      </w:r>
    </w:p>
    <w:p>
      <w:pPr>
        <w:spacing w:line="360" w:lineRule="auto"/>
        <w:rPr>
          <w:rFonts w:hint="eastAsia" w:ascii="宋体" w:hAnsi="宋体" w:eastAsia="宋体" w:cs="宋体"/>
          <w:b/>
          <w:bCs/>
          <w:color w:val="333333"/>
          <w:sz w:val="24"/>
          <w:szCs w:val="24"/>
          <w:shd w:val="clear" w:color="auto" w:fill="FFFFFF"/>
        </w:rPr>
      </w:pPr>
      <w:r>
        <w:rPr>
          <w:rFonts w:hint="eastAsia" w:ascii="宋体" w:hAnsi="宋体" w:eastAsia="宋体" w:cs="宋体"/>
          <w:b/>
          <w:bCs/>
          <w:color w:val="333333"/>
          <w:sz w:val="24"/>
          <w:szCs w:val="24"/>
          <w:shd w:val="clear" w:color="auto" w:fill="FFFFFF"/>
        </w:rPr>
        <w:t>软件接口定制</w:t>
      </w:r>
    </w:p>
    <w:p>
      <w:pPr>
        <w:spacing w:line="360" w:lineRule="auto"/>
        <w:rPr>
          <w:rFonts w:hint="eastAsia" w:ascii="宋体" w:hAnsi="宋体" w:eastAsia="宋体" w:cs="宋体"/>
          <w:b/>
          <w:bCs/>
          <w:color w:val="333333"/>
          <w:sz w:val="24"/>
          <w:szCs w:val="24"/>
          <w:shd w:val="clear" w:color="auto" w:fill="FFFFFF"/>
        </w:rPr>
      </w:pPr>
      <w:r>
        <w:rPr>
          <w:rFonts w:hint="eastAsia" w:ascii="宋体" w:hAnsi="宋体" w:eastAsia="宋体" w:cs="宋体"/>
          <w:b/>
          <w:bCs/>
          <w:color w:val="333333"/>
          <w:sz w:val="24"/>
          <w:szCs w:val="24"/>
          <w:shd w:val="clear" w:color="auto" w:fill="FFFFFF"/>
        </w:rPr>
        <w:t>HIS系统双向接口</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从HIS中提取病人基本信息或电子申请单信息；将审核过后的病理报告或未发报告原因发送到HIS中，供临床查看。</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b/>
          <w:bCs/>
          <w:color w:val="333333"/>
          <w:sz w:val="24"/>
          <w:szCs w:val="24"/>
          <w:shd w:val="clear" w:color="auto" w:fill="FFFFFF"/>
        </w:rPr>
        <w:t>全自动免疫组化染色仪接口</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与免疫组化染色仪器进行对接</w:t>
      </w:r>
    </w:p>
    <w:p>
      <w:pPr>
        <w:spacing w:line="360" w:lineRule="auto"/>
        <w:rPr>
          <w:rFonts w:hint="eastAsia" w:ascii="宋体" w:hAnsi="宋体" w:eastAsia="宋体" w:cs="宋体"/>
          <w:b/>
          <w:bCs/>
          <w:color w:val="333333"/>
          <w:sz w:val="24"/>
          <w:szCs w:val="24"/>
          <w:shd w:val="clear" w:color="auto" w:fill="FFFFFF"/>
        </w:rPr>
      </w:pPr>
      <w:r>
        <w:rPr>
          <w:rFonts w:hint="eastAsia" w:ascii="宋体" w:hAnsi="宋体" w:eastAsia="宋体" w:cs="宋体"/>
          <w:b/>
          <w:bCs/>
          <w:color w:val="333333"/>
          <w:sz w:val="24"/>
          <w:szCs w:val="24"/>
          <w:shd w:val="clear" w:color="auto" w:fill="FFFFFF"/>
        </w:rPr>
        <w:t>显微镜摄像头接口</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与不同显微镜摄像头对接</w:t>
      </w:r>
    </w:p>
    <w:p>
      <w:pPr>
        <w:spacing w:line="360" w:lineRule="auto"/>
        <w:rPr>
          <w:rFonts w:hint="eastAsia" w:ascii="宋体" w:hAnsi="宋体" w:eastAsia="宋体" w:cs="宋体"/>
          <w:b/>
          <w:bCs/>
          <w:color w:val="333333"/>
          <w:sz w:val="24"/>
          <w:szCs w:val="24"/>
          <w:shd w:val="clear" w:color="auto" w:fill="FFFFFF"/>
          <w:lang w:eastAsia="zh-CN"/>
        </w:rPr>
      </w:pPr>
      <w:r>
        <w:rPr>
          <w:rFonts w:hint="eastAsia" w:ascii="宋体" w:hAnsi="宋体" w:eastAsia="宋体" w:cs="宋体"/>
          <w:b/>
          <w:bCs/>
          <w:color w:val="333333"/>
          <w:sz w:val="24"/>
          <w:szCs w:val="24"/>
          <w:shd w:val="clear" w:color="auto" w:fill="FFFFFF"/>
        </w:rPr>
        <w:t>包埋盒打号机接口</w:t>
      </w:r>
      <w:r>
        <w:rPr>
          <w:rFonts w:hint="eastAsia" w:ascii="宋体" w:hAnsi="宋体" w:eastAsia="宋体" w:cs="宋体"/>
          <w:b/>
          <w:bCs/>
          <w:color w:val="333333"/>
          <w:sz w:val="24"/>
          <w:szCs w:val="24"/>
          <w:shd w:val="clear" w:color="auto" w:fill="FFFFFF"/>
          <w:lang w:eastAsia="zh-CN"/>
        </w:rPr>
        <w:t>模块</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与不同包埋盒打号机对接，实现数据传输</w:t>
      </w:r>
    </w:p>
    <w:p>
      <w:pPr>
        <w:spacing w:line="360" w:lineRule="auto"/>
        <w:rPr>
          <w:rFonts w:hint="eastAsia" w:ascii="宋体" w:hAnsi="宋体" w:eastAsia="宋体" w:cs="宋体"/>
          <w:color w:val="333333"/>
          <w:sz w:val="24"/>
          <w:szCs w:val="24"/>
          <w:shd w:val="clear" w:color="auto" w:fill="FFFFFF"/>
        </w:rPr>
      </w:pPr>
    </w:p>
    <w:p>
      <w:pPr>
        <w:spacing w:line="360" w:lineRule="auto"/>
        <w:rPr>
          <w:rFonts w:hint="eastAsia" w:ascii="宋体" w:hAnsi="宋体" w:eastAsia="宋体" w:cs="宋体"/>
          <w:color w:val="333333"/>
          <w:sz w:val="24"/>
          <w:szCs w:val="24"/>
          <w:shd w:val="clear" w:color="auto" w:fill="FFFFFF"/>
        </w:rPr>
      </w:pPr>
    </w:p>
    <w:p>
      <w:pPr>
        <w:spacing w:line="360" w:lineRule="auto"/>
        <w:rPr>
          <w:rFonts w:hint="eastAsia" w:ascii="宋体" w:hAnsi="宋体" w:eastAsia="宋体" w:cs="宋体"/>
          <w:b/>
          <w:color w:val="333333"/>
          <w:sz w:val="24"/>
          <w:szCs w:val="24"/>
          <w:shd w:val="clear" w:color="auto" w:fill="FFFFFF"/>
        </w:rPr>
      </w:pPr>
      <w:r>
        <w:rPr>
          <w:rFonts w:hint="eastAsia" w:ascii="宋体" w:hAnsi="宋体" w:eastAsia="宋体" w:cs="宋体"/>
          <w:b/>
          <w:color w:val="333333"/>
          <w:sz w:val="24"/>
          <w:szCs w:val="24"/>
          <w:shd w:val="clear" w:color="auto" w:fill="FFFFFF"/>
        </w:rPr>
        <w:t>二.</w:t>
      </w:r>
      <w:r>
        <w:rPr>
          <w:rFonts w:hint="eastAsia" w:ascii="宋体" w:hAnsi="宋体" w:eastAsia="宋体" w:cs="宋体"/>
          <w:b/>
          <w:color w:val="333333"/>
          <w:sz w:val="24"/>
          <w:szCs w:val="24"/>
          <w:shd w:val="clear" w:color="auto" w:fill="FFFFFF"/>
          <w:lang w:eastAsia="zh-CN"/>
        </w:rPr>
        <w:t>远程会诊</w:t>
      </w:r>
      <w:r>
        <w:rPr>
          <w:rFonts w:hint="eastAsia" w:ascii="宋体" w:hAnsi="宋体" w:eastAsia="宋体" w:cs="宋体"/>
          <w:b/>
          <w:color w:val="333333"/>
          <w:sz w:val="24"/>
          <w:szCs w:val="24"/>
          <w:shd w:val="clear" w:color="auto" w:fill="FFFFFF"/>
        </w:rPr>
        <w:t>云平台</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1、完整的病理会诊综合解决方案，满足医院、专家、等方面的业务使用需求。</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2、完善的信息提醒机制，支持邮件、短信等方式进行会诊通知信息推送。</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3、中英文一键切换模块，可一键切换中英文网页，方便海外专家进行会诊，支持国际会诊交流。</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4、★切片免上传：切片免上传模块（需提前部署），省去了切片上传的时间，对于加急病例，可快速出诊断结果；闲时进行切片自动上传归档备份，方便医生操作，提高会诊效率。</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5、具有较强的系统完整性，病理诊断云平台、病理全流程质控和信息管理系统、病理标本送检系统至少两项为同一生产厂商并提供软著，最大化保证系统间的无缝对接。</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7、分享病例：病例可选择加密、公开、时效选择的方式，一键生成分享链接发给其他人。同时也支持分享已诊断病例。</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8、查看/打印/导出已诊断报告：支持查看已诊断报告，同时加粗的列表项表示此已诊断病例还未读；多专家病例可以切换专家名字标签打开各个专家的诊断报告，同时可以导出和打印报告。</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9、退回病例：若病例有问题，如病例信息不完整、病理切片不清晰等等，使用退回功能，可以将此病例退回给送检医院，同时平台会发送短信通知送检医院。</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10、转诊病例：当专家无法诊断某条病例时，可以使用转诊功能，选择将这条病例转给别的专家进行诊断</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11、加做医嘱</w:t>
      </w:r>
      <w:bookmarkStart w:id="1" w:name="OLE_LINK2"/>
      <w:bookmarkStart w:id="2" w:name="OLE_LINK1"/>
      <w:r>
        <w:rPr>
          <w:rFonts w:hint="eastAsia" w:ascii="宋体" w:hAnsi="宋体" w:eastAsia="宋体" w:cs="宋体"/>
          <w:color w:val="333333"/>
          <w:sz w:val="24"/>
          <w:szCs w:val="24"/>
          <w:shd w:val="clear" w:color="auto" w:fill="FFFFFF"/>
        </w:rPr>
        <w:t>：如果病例需要加做医嘱，使用加做医嘱功能，可以将病例退回给送检医院进行医嘱加做。</w:t>
      </w:r>
      <w:bookmarkEnd w:id="1"/>
      <w:bookmarkEnd w:id="2"/>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12、补充诊断意见：当之前提交诊断报告有补充诊断意见或其他问题时，专家可在已诊断病例的诊断报告中，添加补充意见，同时平台也会发送短信通知送检医院。</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13、视频会议：提供周到、便捷的会诊功能，可以创建在线视频会诊，同时允许邀请系统外人员参与，可以实现桌面共享，用于远程培训，多方讨论等。</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14、数字病理切片格式全兼容性。兼容滨松（日本）、3DHISTECH（匈牙利）、徕卡、罗氏、飞利浦、江丰、优纳、帝麦克斯、麦克奥迪、蔡司等主流厂商设备格式。</w:t>
      </w:r>
    </w:p>
    <w:p>
      <w:pPr>
        <w:spacing w:line="360" w:lineRule="auto"/>
        <w:rPr>
          <w:rFonts w:hint="eastAsia" w:ascii="宋体" w:hAnsi="宋体" w:eastAsia="宋体" w:cs="宋体"/>
          <w:color w:val="333333"/>
          <w:sz w:val="24"/>
          <w:szCs w:val="24"/>
          <w:shd w:val="clear" w:color="auto" w:fill="FFFFFF"/>
        </w:rPr>
      </w:pPr>
    </w:p>
    <w:p>
      <w:pPr>
        <w:spacing w:line="360" w:lineRule="auto"/>
        <w:rPr>
          <w:rFonts w:hint="eastAsia" w:ascii="宋体" w:hAnsi="宋体" w:eastAsia="宋体" w:cs="宋体"/>
          <w:color w:val="333333"/>
          <w:sz w:val="24"/>
          <w:szCs w:val="24"/>
          <w:shd w:val="clear" w:color="auto" w:fill="FFFFFF"/>
        </w:rPr>
      </w:pPr>
    </w:p>
    <w:p>
      <w:pPr>
        <w:numPr>
          <w:ilvl w:val="0"/>
          <w:numId w:val="1"/>
        </w:numPr>
        <w:rPr>
          <w:rFonts w:hint="eastAsia" w:ascii="宋体" w:hAnsi="宋体" w:eastAsia="宋体" w:cs="宋体"/>
          <w:b/>
          <w:bCs/>
          <w:sz w:val="24"/>
          <w:szCs w:val="24"/>
        </w:rPr>
      </w:pPr>
      <w:r>
        <w:rPr>
          <w:rFonts w:hint="eastAsia" w:ascii="宋体" w:hAnsi="宋体" w:eastAsia="宋体" w:cs="宋体"/>
          <w:b/>
          <w:bCs/>
          <w:sz w:val="24"/>
          <w:szCs w:val="24"/>
        </w:rPr>
        <w:t>硬件部分技术参数</w:t>
      </w:r>
    </w:p>
    <w:p>
      <w:pPr>
        <w:widowControl w:val="0"/>
        <w:numPr>
          <w:numId w:val="0"/>
        </w:numPr>
        <w:jc w:val="both"/>
        <w:rPr>
          <w:rFonts w:hint="eastAsia" w:ascii="宋体" w:hAnsi="宋体" w:eastAsia="宋体" w:cs="宋体"/>
          <w:b/>
          <w:bCs/>
          <w:sz w:val="24"/>
          <w:szCs w:val="24"/>
        </w:rPr>
      </w:pPr>
    </w:p>
    <w:p>
      <w:pPr>
        <w:spacing w:line="360" w:lineRule="auto"/>
        <w:rPr>
          <w:rFonts w:hint="eastAsia" w:ascii="宋体" w:hAnsi="宋体" w:eastAsia="宋体" w:cs="宋体"/>
          <w:b/>
          <w:bCs/>
          <w:color w:val="333333"/>
          <w:sz w:val="24"/>
          <w:szCs w:val="24"/>
          <w:shd w:val="clear" w:color="auto" w:fill="FFFFFF"/>
          <w:lang w:val="en-US" w:eastAsia="zh-CN"/>
        </w:rPr>
      </w:pPr>
      <w:r>
        <w:rPr>
          <w:rFonts w:hint="eastAsia" w:ascii="宋体" w:hAnsi="宋体" w:eastAsia="宋体" w:cs="宋体"/>
          <w:b/>
          <w:bCs/>
          <w:color w:val="333333"/>
          <w:sz w:val="24"/>
          <w:szCs w:val="24"/>
          <w:shd w:val="clear" w:color="auto" w:fill="FFFFFF"/>
        </w:rPr>
        <w:t>大体标本摄像系统</w:t>
      </w:r>
    </w:p>
    <w:p>
      <w:pPr>
        <w:widowControl w:val="0"/>
        <w:numPr>
          <w:numId w:val="0"/>
        </w:numPr>
        <w:jc w:val="both"/>
        <w:rPr>
          <w:rFonts w:hint="eastAsia" w:ascii="宋体" w:hAnsi="宋体" w:eastAsia="宋体" w:cs="宋体"/>
          <w:b/>
          <w:bCs/>
          <w:sz w:val="24"/>
          <w:szCs w:val="24"/>
        </w:rPr>
      </w:pPr>
      <w:r>
        <w:rPr>
          <w:rFonts w:hint="eastAsia" w:ascii="宋体" w:hAnsi="宋体" w:eastAsia="宋体" w:cs="宋体"/>
          <w:color w:val="333333"/>
          <w:sz w:val="24"/>
          <w:szCs w:val="24"/>
          <w:shd w:val="clear" w:color="auto" w:fill="FFFFFF"/>
          <w:lang w:val="en-US" w:eastAsia="zh-CN"/>
        </w:rPr>
        <w:t>传感器：1/3.2” CMOS；有效画素：800万画素；最高画格速率：60fps；连接：USB/HDMI/RGB；白平衡：自动／手动；曝光：自动／手动；效果：彩色／黑白／负片／镜像／旋转／停格；RGB输出：1920x1080,1280x1024,1280x720,1024x768,1280 x800,1366x768；HDMI输出：HD1080p 60Hz, HD720P 60Hz；对焦：自动／手动；拍摄范围：437mmx246mm；缩放倍数：10X光学缩放；电源：DC12V,100-240V,50-60Hz；补光灯泡类型：LED灯</w:t>
      </w:r>
    </w:p>
    <w:p>
      <w:pPr>
        <w:widowControl w:val="0"/>
        <w:numPr>
          <w:numId w:val="0"/>
        </w:numPr>
        <w:jc w:val="both"/>
        <w:rPr>
          <w:rFonts w:hint="eastAsia" w:ascii="宋体" w:hAnsi="宋体" w:eastAsia="宋体" w:cs="宋体"/>
          <w:b/>
          <w:bCs/>
          <w:sz w:val="24"/>
          <w:szCs w:val="24"/>
        </w:rPr>
      </w:pP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包埋盒打号机</w:t>
      </w:r>
    </w:p>
    <w:p>
      <w:pPr>
        <w:numPr>
          <w:ilvl w:val="0"/>
          <w:numId w:val="2"/>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具备不低于</w:t>
      </w:r>
      <w:r>
        <w:rPr>
          <w:rFonts w:hint="eastAsia" w:ascii="宋体" w:hAnsi="宋体" w:eastAsia="宋体" w:cs="宋体"/>
          <w:sz w:val="24"/>
          <w:szCs w:val="24"/>
        </w:rPr>
        <w:t>10英寸彩色触摸液晶屏</w:t>
      </w:r>
    </w:p>
    <w:p>
      <w:pPr>
        <w:numPr>
          <w:ilvl w:val="0"/>
          <w:numId w:val="2"/>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lang w:eastAsia="zh-CN"/>
        </w:rPr>
        <w:t>机器</w:t>
      </w:r>
      <w:r>
        <w:rPr>
          <w:rFonts w:hint="eastAsia" w:ascii="宋体" w:hAnsi="宋体" w:eastAsia="宋体" w:cs="宋体"/>
          <w:sz w:val="24"/>
          <w:szCs w:val="24"/>
        </w:rPr>
        <w:t>内置操作电脑</w:t>
      </w:r>
      <w:r>
        <w:rPr>
          <w:rFonts w:hint="eastAsia" w:ascii="宋体" w:hAnsi="宋体" w:eastAsia="宋体" w:cs="宋体"/>
          <w:sz w:val="24"/>
          <w:szCs w:val="24"/>
          <w:lang w:eastAsia="zh-CN"/>
        </w:rPr>
        <w:t>及</w:t>
      </w:r>
      <w:r>
        <w:rPr>
          <w:rFonts w:hint="eastAsia" w:ascii="宋体" w:hAnsi="宋体" w:eastAsia="宋体" w:cs="宋体"/>
          <w:sz w:val="24"/>
          <w:szCs w:val="24"/>
          <w:lang w:val="en-US" w:eastAsia="zh-CN"/>
        </w:rPr>
        <w:t>windows操作系统</w:t>
      </w:r>
    </w:p>
    <w:p>
      <w:pPr>
        <w:keepNext w:val="0"/>
        <w:keepLines w:val="0"/>
        <w:widowControl/>
        <w:numPr>
          <w:ilvl w:val="0"/>
          <w:numId w:val="2"/>
        </w:numPr>
        <w:suppressLineNumbers w:val="0"/>
        <w:spacing w:line="360" w:lineRule="auto"/>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使用非接触式</w:t>
      </w:r>
      <w:r>
        <w:rPr>
          <w:rFonts w:hint="eastAsia" w:ascii="宋体" w:hAnsi="宋体" w:eastAsia="宋体" w:cs="宋体"/>
          <w:sz w:val="24"/>
          <w:szCs w:val="24"/>
        </w:rPr>
        <w:t>紫外激光</w:t>
      </w:r>
      <w:r>
        <w:rPr>
          <w:rFonts w:hint="eastAsia" w:ascii="宋体" w:hAnsi="宋体" w:eastAsia="宋体" w:cs="宋体"/>
          <w:sz w:val="24"/>
          <w:szCs w:val="24"/>
          <w:lang w:eastAsia="zh-CN"/>
        </w:rPr>
        <w:t>技术书写打号，</w:t>
      </w:r>
      <w:r>
        <w:rPr>
          <w:rFonts w:hint="eastAsia" w:ascii="宋体" w:hAnsi="宋体" w:eastAsia="宋体" w:cs="宋体"/>
          <w:sz w:val="24"/>
          <w:szCs w:val="24"/>
          <w:lang w:val="en-US" w:eastAsia="zh-CN"/>
        </w:rPr>
        <w:t>无需色带或喷墨、组织盒无需添加激光粉（镭雕粉），真正的零成本使用，</w:t>
      </w:r>
      <w:r>
        <w:rPr>
          <w:rFonts w:hint="eastAsia" w:ascii="宋体" w:hAnsi="宋体" w:eastAsia="宋体" w:cs="宋体"/>
          <w:sz w:val="24"/>
          <w:szCs w:val="24"/>
        </w:rPr>
        <w:t>可以打印带激光粉和不</w:t>
      </w:r>
      <w:r>
        <w:rPr>
          <w:rFonts w:hint="eastAsia" w:ascii="宋体" w:hAnsi="宋体" w:eastAsia="宋体" w:cs="宋体"/>
          <w:sz w:val="24"/>
          <w:szCs w:val="24"/>
          <w:lang w:val="en-US" w:eastAsia="zh-CN"/>
        </w:rPr>
        <w:t>带</w:t>
      </w:r>
      <w:r>
        <w:rPr>
          <w:rFonts w:hint="eastAsia" w:ascii="宋体" w:hAnsi="宋体" w:eastAsia="宋体" w:cs="宋体"/>
          <w:sz w:val="24"/>
          <w:szCs w:val="24"/>
        </w:rPr>
        <w:t>激光粉包埋盒</w:t>
      </w:r>
      <w:r>
        <w:rPr>
          <w:rFonts w:hint="eastAsia" w:ascii="宋体" w:hAnsi="宋体" w:eastAsia="宋体" w:cs="宋体"/>
          <w:sz w:val="24"/>
          <w:szCs w:val="24"/>
          <w:lang w:eastAsia="zh-CN"/>
        </w:rPr>
        <w:t>，</w:t>
      </w:r>
      <w:r>
        <w:rPr>
          <w:rFonts w:hint="eastAsia" w:ascii="宋体" w:hAnsi="宋体" w:eastAsia="宋体" w:cs="宋体"/>
          <w:sz w:val="24"/>
          <w:szCs w:val="24"/>
        </w:rPr>
        <w:t>同时可以打印带盖和不带盖包埋盒</w:t>
      </w:r>
    </w:p>
    <w:p>
      <w:pPr>
        <w:numPr>
          <w:ilvl w:val="0"/>
          <w:numId w:val="2"/>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书写内容:中文、西文（含英文、希腊文及各种符号）、数字、</w:t>
      </w:r>
      <w:r>
        <w:rPr>
          <w:rFonts w:hint="eastAsia" w:ascii="宋体" w:hAnsi="宋体" w:eastAsia="宋体" w:cs="宋体"/>
          <w:sz w:val="24"/>
          <w:szCs w:val="24"/>
          <w:lang w:val="en-US" w:eastAsia="zh-CN"/>
        </w:rPr>
        <w:t>图片、</w:t>
      </w:r>
      <w:r>
        <w:rPr>
          <w:rFonts w:hint="eastAsia" w:ascii="宋体" w:hAnsi="宋体" w:eastAsia="宋体" w:cs="宋体"/>
          <w:sz w:val="24"/>
          <w:szCs w:val="24"/>
        </w:rPr>
        <w:t>一维码、二维码</w:t>
      </w:r>
    </w:p>
    <w:p>
      <w:pPr>
        <w:numPr>
          <w:ilvl w:val="0"/>
          <w:numId w:val="2"/>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输出模式：</w:t>
      </w:r>
      <w:r>
        <w:rPr>
          <w:rFonts w:hint="eastAsia" w:ascii="宋体" w:hAnsi="宋体" w:eastAsia="宋体" w:cs="宋体"/>
          <w:sz w:val="24"/>
          <w:szCs w:val="24"/>
        </w:rPr>
        <w:t>具备</w:t>
      </w:r>
      <w:r>
        <w:rPr>
          <w:rFonts w:hint="eastAsia" w:ascii="宋体" w:hAnsi="宋体" w:eastAsia="宋体" w:cs="宋体"/>
          <w:sz w:val="24"/>
          <w:szCs w:val="24"/>
          <w:lang w:eastAsia="zh-CN"/>
        </w:rPr>
        <w:t>平台式用于集中打印，具备滑轨式用于即时打印</w:t>
      </w:r>
    </w:p>
    <w:p>
      <w:pPr>
        <w:numPr>
          <w:ilvl w:val="0"/>
          <w:numId w:val="2"/>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lang w:val="en-US" w:eastAsia="zh-CN"/>
        </w:rPr>
        <w:t>装载</w:t>
      </w:r>
      <w:r>
        <w:rPr>
          <w:rFonts w:hint="eastAsia" w:ascii="宋体" w:hAnsi="宋体" w:eastAsia="宋体" w:cs="宋体"/>
          <w:sz w:val="24"/>
          <w:szCs w:val="24"/>
        </w:rPr>
        <w:t>装置：</w:t>
      </w:r>
      <w:r>
        <w:rPr>
          <w:rFonts w:hint="eastAsia" w:ascii="宋体" w:hAnsi="宋体" w:eastAsia="宋体" w:cs="宋体"/>
          <w:sz w:val="24"/>
          <w:szCs w:val="24"/>
          <w:lang w:val="en-US" w:eastAsia="zh-CN"/>
        </w:rPr>
        <w:t>6槽</w:t>
      </w:r>
      <w:r>
        <w:rPr>
          <w:rFonts w:hint="eastAsia" w:ascii="宋体" w:hAnsi="宋体" w:eastAsia="宋体" w:cs="宋体"/>
          <w:sz w:val="24"/>
          <w:szCs w:val="24"/>
        </w:rPr>
        <w:t>自动旋转装</w:t>
      </w:r>
      <w:r>
        <w:rPr>
          <w:rFonts w:hint="eastAsia" w:ascii="宋体" w:hAnsi="宋体" w:eastAsia="宋体" w:cs="宋体"/>
          <w:sz w:val="24"/>
          <w:szCs w:val="24"/>
          <w:lang w:val="en-US" w:eastAsia="zh-CN"/>
        </w:rPr>
        <w:t>载</w:t>
      </w:r>
      <w:r>
        <w:rPr>
          <w:rFonts w:hint="eastAsia" w:ascii="宋体" w:hAnsi="宋体" w:eastAsia="宋体" w:cs="宋体"/>
          <w:sz w:val="24"/>
          <w:szCs w:val="24"/>
        </w:rPr>
        <w:t>，</w:t>
      </w:r>
      <w:r>
        <w:rPr>
          <w:rFonts w:hint="eastAsia" w:ascii="宋体" w:hAnsi="宋体" w:eastAsia="宋体" w:cs="宋体"/>
          <w:sz w:val="24"/>
          <w:szCs w:val="24"/>
          <w:lang w:val="en-US" w:eastAsia="zh-CN"/>
        </w:rPr>
        <w:t>装载槽</w:t>
      </w:r>
      <w:r>
        <w:rPr>
          <w:rFonts w:hint="eastAsia" w:ascii="宋体" w:hAnsi="宋体" w:eastAsia="宋体" w:cs="宋体"/>
          <w:sz w:val="24"/>
          <w:szCs w:val="24"/>
        </w:rPr>
        <w:t>可拆卸、互换</w:t>
      </w:r>
    </w:p>
    <w:p>
      <w:pPr>
        <w:numPr>
          <w:ilvl w:val="0"/>
          <w:numId w:val="2"/>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内容预览:支持同步预览，可在机器内置屏幕上实时预览。</w:t>
      </w:r>
    </w:p>
    <w:p>
      <w:pPr>
        <w:numPr>
          <w:ilvl w:val="0"/>
          <w:numId w:val="2"/>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打印速度:≤</w:t>
      </w:r>
      <w:r>
        <w:rPr>
          <w:rFonts w:hint="eastAsia" w:ascii="宋体" w:hAnsi="宋体" w:eastAsia="宋体" w:cs="宋体"/>
          <w:sz w:val="24"/>
          <w:szCs w:val="24"/>
          <w:lang w:val="en-US" w:eastAsia="zh-CN"/>
        </w:rPr>
        <w:t>3</w:t>
      </w:r>
      <w:r>
        <w:rPr>
          <w:rFonts w:hint="eastAsia" w:ascii="宋体" w:hAnsi="宋体" w:eastAsia="宋体" w:cs="宋体"/>
          <w:sz w:val="24"/>
          <w:szCs w:val="24"/>
        </w:rPr>
        <w:t>秒/个包埋盒</w:t>
      </w:r>
    </w:p>
    <w:p>
      <w:pPr>
        <w:numPr>
          <w:ilvl w:val="0"/>
          <w:numId w:val="2"/>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信息录入方式:单机独立信息录入、外接电脑信息录入、连接HIS/LIS系统信息录入等</w:t>
      </w:r>
    </w:p>
    <w:p>
      <w:pPr>
        <w:numPr>
          <w:ilvl w:val="0"/>
          <w:numId w:val="2"/>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打印分辨率:≥2400dpi</w:t>
      </w:r>
    </w:p>
    <w:p>
      <w:pPr>
        <w:numPr>
          <w:ilvl w:val="0"/>
          <w:numId w:val="2"/>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原厂软件：软件自主研发、具有软件著作权证书</w:t>
      </w:r>
    </w:p>
    <w:p>
      <w:pPr>
        <w:numPr>
          <w:ilvl w:val="0"/>
          <w:numId w:val="2"/>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具有第三方认证机构出具的字符耐受度认证合格报告</w:t>
      </w:r>
    </w:p>
    <w:p>
      <w:pPr>
        <w:numPr>
          <w:ilvl w:val="0"/>
          <w:numId w:val="2"/>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rPr>
        <w:t>具有第三方认证机构出具的空气检测报告</w:t>
      </w:r>
    </w:p>
    <w:p>
      <w:pPr>
        <w:spacing w:line="360" w:lineRule="auto"/>
        <w:rPr>
          <w:rFonts w:hint="eastAsia" w:ascii="宋体" w:hAnsi="宋体" w:eastAsia="宋体" w:cs="宋体"/>
          <w:color w:val="333333"/>
          <w:sz w:val="24"/>
          <w:szCs w:val="24"/>
          <w:shd w:val="clear" w:color="auto" w:fill="FFFFFF"/>
          <w:lang w:val="en-US" w:eastAsia="zh-CN"/>
        </w:rPr>
      </w:pPr>
    </w:p>
    <w:p>
      <w:pPr>
        <w:spacing w:line="360" w:lineRule="auto"/>
        <w:rPr>
          <w:rFonts w:hint="eastAsia" w:ascii="宋体" w:hAnsi="宋体" w:eastAsia="宋体" w:cs="宋体"/>
          <w:b/>
          <w:bCs/>
          <w:color w:val="333333"/>
          <w:sz w:val="24"/>
          <w:szCs w:val="24"/>
          <w:shd w:val="clear" w:color="auto" w:fill="FFFFFF"/>
        </w:rPr>
      </w:pPr>
      <w:r>
        <w:rPr>
          <w:rFonts w:hint="eastAsia" w:ascii="宋体" w:hAnsi="宋体" w:eastAsia="宋体" w:cs="宋体"/>
          <w:b/>
          <w:bCs/>
          <w:color w:val="333333"/>
          <w:sz w:val="24"/>
          <w:szCs w:val="24"/>
          <w:shd w:val="clear" w:color="auto" w:fill="FFFFFF"/>
        </w:rPr>
        <w:t>显微镜数码摄像头</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有效像素：2592×1944（5M）；分辨率和帧率：2592×1944:7.9FPS；2048×1536（ROI）:12.7 FPS；1920×1080（ROI）:19.2FPS；1280×960（SUM）:21.5 FPS；1280×960（BIN）:21.5 FPS；640×480（SUM）:33.3 FPS；640×480（BIN）:33.3 FPS；任意尺寸ROI；像素尺寸：2.2μm×2.2μm；扫描方式：逐行扫描；快门类型：电子滚动快门（Electronic Rolling Shutter）；曝光时间：0.059ms-3000 ms；图像数据格式：8bit Raw格式, 24bit BMP格式；灵敏度：1.76V/Lux-sec(550nm)；光谱响应：380nm-650nm(带红外滤光片)；信噪比：38.5dB；动态范围：67.7dB；清晰度：&gt;1200线</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曝光控制：自动曝光/手动曝光/区域曝光；白平衡：手动白平衡/一次白平衡/自动白平衡/区域白平衡；拍照格式：RAW、BMP、JPG、PNG；可编程控制：图像尺寸/图像亮度/曝光时间/增益/消频闪/GAMMA/对比度/黑电平/锐度/降噪/3D降噪/RGB增益/饱和度；支持系统：Windows XP(32位)；Win7/8/8.1/10(32/64位) ；软件接口：TWAIN，DirectShow</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数据接口：USB2.0 B型接口，480Mb/s；LED指示：上电和待机常亮/工作闪烁；镜头接口：C接口</w:t>
      </w:r>
    </w:p>
    <w:p>
      <w:pPr>
        <w:spacing w:line="360" w:lineRule="auto"/>
        <w:rPr>
          <w:rFonts w:hint="eastAsia" w:ascii="宋体" w:hAnsi="宋体" w:eastAsia="宋体" w:cs="宋体"/>
          <w:b/>
          <w:bCs/>
          <w:color w:val="333333"/>
          <w:sz w:val="24"/>
          <w:szCs w:val="24"/>
          <w:shd w:val="clear" w:color="auto" w:fill="FFFFFF"/>
          <w:lang w:eastAsia="zh-CN"/>
        </w:rPr>
      </w:pPr>
      <w:r>
        <w:rPr>
          <w:rFonts w:hint="eastAsia" w:ascii="宋体" w:hAnsi="宋体" w:eastAsia="宋体" w:cs="宋体"/>
          <w:b/>
          <w:bCs/>
          <w:color w:val="333333"/>
          <w:sz w:val="24"/>
          <w:szCs w:val="24"/>
          <w:shd w:val="clear" w:color="auto" w:fill="FFFFFF"/>
          <w:lang w:eastAsia="zh-CN"/>
        </w:rPr>
        <w:t>台式晾片柜</w:t>
      </w:r>
    </w:p>
    <w:p>
      <w:pPr>
        <w:numPr>
          <w:ilvl w:val="0"/>
          <w:numId w:val="3"/>
        </w:numPr>
        <w:spacing w:line="360" w:lineRule="auto"/>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lang w:val="en-US" w:eastAsia="zh-CN"/>
        </w:rPr>
        <w:t>专业通风设计，快速晾片</w:t>
      </w:r>
    </w:p>
    <w:p>
      <w:pPr>
        <w:numPr>
          <w:ilvl w:val="0"/>
          <w:numId w:val="3"/>
        </w:numPr>
        <w:spacing w:line="360" w:lineRule="auto"/>
        <w:rPr>
          <w:rFonts w:hint="default"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lang w:val="en-US" w:eastAsia="zh-CN"/>
        </w:rPr>
        <w:t>台式设计，单次可装载不低于10张晾片板，每张晾片板可放置不低于20张载玻片</w:t>
      </w:r>
    </w:p>
    <w:p>
      <w:pPr>
        <w:numPr>
          <w:ilvl w:val="0"/>
          <w:numId w:val="3"/>
        </w:numPr>
        <w:spacing w:line="360" w:lineRule="auto"/>
        <w:rPr>
          <w:rFonts w:hint="default" w:ascii="宋体" w:hAnsi="宋体" w:eastAsia="宋体" w:cs="宋体"/>
          <w:color w:val="333333"/>
          <w:sz w:val="24"/>
          <w:szCs w:val="24"/>
          <w:shd w:val="clear" w:color="auto" w:fill="FFFFFF"/>
          <w:lang w:val="en-US" w:eastAsia="zh-CN"/>
        </w:rPr>
      </w:pPr>
      <w:r>
        <w:rPr>
          <w:rFonts w:hint="eastAsia" w:ascii="宋体" w:hAnsi="宋体" w:eastAsia="宋体" w:cs="宋体"/>
          <w:sz w:val="24"/>
          <w:szCs w:val="24"/>
        </w:rPr>
        <w:t>▲</w:t>
      </w:r>
      <w:r>
        <w:rPr>
          <w:rFonts w:hint="eastAsia" w:ascii="宋体" w:hAnsi="宋体" w:eastAsia="宋体" w:cs="宋体"/>
          <w:color w:val="333333"/>
          <w:sz w:val="24"/>
          <w:szCs w:val="24"/>
          <w:shd w:val="clear" w:color="auto" w:fill="FFFFFF"/>
          <w:lang w:val="en-US" w:eastAsia="zh-CN"/>
        </w:rPr>
        <w:t>利用NCCO氧聚解技术，在晾片工作中，快速处理有机毒害气体</w:t>
      </w:r>
    </w:p>
    <w:p>
      <w:pPr>
        <w:numPr>
          <w:ilvl w:val="0"/>
          <w:numId w:val="3"/>
        </w:numPr>
        <w:spacing w:line="360" w:lineRule="auto"/>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lang w:val="en-US" w:eastAsia="zh-CN"/>
        </w:rPr>
        <w:t>晾片板材质为环保的ABS材料，坚固耐用，不易腐蚀</w:t>
      </w:r>
    </w:p>
    <w:p>
      <w:pPr>
        <w:spacing w:line="360" w:lineRule="auto"/>
        <w:rPr>
          <w:rFonts w:hint="eastAsia" w:ascii="宋体" w:hAnsi="宋体" w:eastAsia="宋体" w:cs="宋体"/>
          <w:b/>
          <w:bCs/>
          <w:color w:val="333333"/>
          <w:sz w:val="24"/>
          <w:szCs w:val="24"/>
          <w:shd w:val="clear" w:color="auto" w:fill="FFFFFF"/>
          <w:lang w:eastAsia="zh-CN"/>
        </w:rPr>
      </w:pPr>
      <w:r>
        <w:rPr>
          <w:rFonts w:hint="eastAsia" w:ascii="宋体" w:hAnsi="宋体" w:eastAsia="宋体" w:cs="宋体"/>
          <w:b/>
          <w:bCs/>
          <w:color w:val="333333"/>
          <w:sz w:val="24"/>
          <w:szCs w:val="24"/>
          <w:shd w:val="clear" w:color="auto" w:fill="FFFFFF"/>
        </w:rPr>
        <w:t>工作站</w:t>
      </w:r>
      <w:r>
        <w:rPr>
          <w:rFonts w:hint="eastAsia" w:ascii="宋体" w:hAnsi="宋体" w:eastAsia="宋体" w:cs="宋体"/>
          <w:b/>
          <w:bCs/>
          <w:color w:val="333333"/>
          <w:sz w:val="24"/>
          <w:szCs w:val="24"/>
          <w:shd w:val="clear" w:color="auto" w:fill="FFFFFF"/>
          <w:lang w:eastAsia="zh-CN"/>
        </w:rPr>
        <w:t>电脑</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I5-7500（四核心四线程3.4G）8G DDR4/1T/21.5显示器/WIN10专业版系统正版</w:t>
      </w:r>
    </w:p>
    <w:p>
      <w:pPr>
        <w:spacing w:line="360" w:lineRule="auto"/>
        <w:rPr>
          <w:rFonts w:hint="eastAsia" w:ascii="宋体" w:hAnsi="宋体" w:eastAsia="宋体" w:cs="宋体"/>
          <w:b/>
          <w:bCs/>
          <w:color w:val="333333"/>
          <w:sz w:val="24"/>
          <w:szCs w:val="24"/>
          <w:shd w:val="clear" w:color="auto" w:fill="FFFFFF"/>
        </w:rPr>
      </w:pPr>
      <w:r>
        <w:rPr>
          <w:rFonts w:hint="eastAsia" w:ascii="宋体" w:hAnsi="宋体" w:eastAsia="宋体" w:cs="宋体"/>
          <w:b/>
          <w:bCs/>
          <w:color w:val="333333"/>
          <w:sz w:val="24"/>
          <w:szCs w:val="24"/>
          <w:shd w:val="clear" w:color="auto" w:fill="FFFFFF"/>
        </w:rPr>
        <w:t>触控一体机</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15寸电阻屏触摸一体机  配置：I5-4300，8G内存，500G机械硬盘，带wifi，带扬声器，分辨率1024*768，配支架</w:t>
      </w:r>
    </w:p>
    <w:p>
      <w:pPr>
        <w:spacing w:line="360" w:lineRule="auto"/>
        <w:rPr>
          <w:rFonts w:hint="eastAsia" w:ascii="宋体" w:hAnsi="宋体" w:eastAsia="宋体" w:cs="宋体"/>
          <w:b/>
          <w:bCs/>
          <w:color w:val="333333"/>
          <w:sz w:val="24"/>
          <w:szCs w:val="24"/>
          <w:shd w:val="clear" w:color="auto" w:fill="FFFFFF"/>
          <w:lang w:eastAsia="zh-CN"/>
        </w:rPr>
      </w:pPr>
      <w:r>
        <w:rPr>
          <w:rFonts w:hint="eastAsia" w:ascii="宋体" w:hAnsi="宋体" w:eastAsia="宋体" w:cs="宋体"/>
          <w:b/>
          <w:bCs/>
          <w:color w:val="333333"/>
          <w:sz w:val="24"/>
          <w:szCs w:val="24"/>
          <w:shd w:val="clear" w:color="auto" w:fill="FFFFFF"/>
        </w:rPr>
        <w:t>条码扫描</w:t>
      </w:r>
      <w:r>
        <w:rPr>
          <w:rFonts w:hint="eastAsia" w:ascii="宋体" w:hAnsi="宋体" w:eastAsia="宋体" w:cs="宋体"/>
          <w:b/>
          <w:bCs/>
          <w:color w:val="333333"/>
          <w:sz w:val="24"/>
          <w:szCs w:val="24"/>
          <w:shd w:val="clear" w:color="auto" w:fill="FFFFFF"/>
          <w:lang w:eastAsia="zh-CN"/>
        </w:rPr>
        <w:t>枪</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通讯接口：RS-232串口，USB键盘，USB虚拟串口；提示方式：蜂鸣器，LED指示灯；触发方式：手动，自动感应；视场角：水平 41°，竖直 28°；扫描角度：±70°，±75°，360°（左右、前后、转动）；印刷对比度：最低20%反射差；解码种类：包括GS1 DataBar 在内的所有通用的一维码、二维码；最小解析度：1D（Code：39） 3mil</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温度：-10°C至50°C（工作），-20°C至70°C（存储）；密封等级：IP54；抗震能力：可承受多次2.0米高度跌落到水泥地面的冲击；带标准支架</w:t>
      </w:r>
    </w:p>
    <w:p>
      <w:pPr>
        <w:spacing w:line="360" w:lineRule="auto"/>
        <w:rPr>
          <w:rFonts w:hint="eastAsia" w:ascii="宋体" w:hAnsi="宋体" w:eastAsia="宋体" w:cs="宋体"/>
          <w:b/>
          <w:bCs/>
          <w:color w:val="333333"/>
          <w:sz w:val="24"/>
          <w:szCs w:val="24"/>
          <w:shd w:val="clear" w:color="auto" w:fill="FFFFFF"/>
        </w:rPr>
      </w:pPr>
      <w:r>
        <w:rPr>
          <w:rFonts w:hint="eastAsia" w:ascii="宋体" w:hAnsi="宋体" w:eastAsia="宋体" w:cs="宋体"/>
          <w:b/>
          <w:bCs/>
          <w:color w:val="333333"/>
          <w:sz w:val="24"/>
          <w:szCs w:val="24"/>
          <w:shd w:val="clear" w:color="auto" w:fill="FFFFFF"/>
        </w:rPr>
        <w:t>高拍仪</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像素：1200万；最大分辨率：4000×3000；扫描幅面：A4；对焦方式：定焦；连接：USB2.0；扫描速度：&lt;1秒；出图响应时间：1秒；适应系统：windows xp，windows7/8/10；图片格式：RAW/JPG/BMP/PNG/TIF/TGA/PDF；</w:t>
      </w:r>
    </w:p>
    <w:p>
      <w:pPr>
        <w:spacing w:line="360" w:lineRule="auto"/>
        <w:rPr>
          <w:rFonts w:hint="eastAsia" w:ascii="宋体" w:hAnsi="宋体" w:eastAsia="宋体" w:cs="宋体"/>
          <w:b/>
          <w:bCs/>
          <w:color w:val="333333"/>
          <w:sz w:val="24"/>
          <w:szCs w:val="24"/>
          <w:shd w:val="clear" w:color="auto" w:fill="FFFFFF"/>
        </w:rPr>
      </w:pPr>
      <w:r>
        <w:rPr>
          <w:rFonts w:hint="eastAsia" w:ascii="宋体" w:hAnsi="宋体" w:eastAsia="宋体" w:cs="宋体"/>
          <w:b/>
          <w:bCs/>
          <w:color w:val="333333"/>
          <w:sz w:val="24"/>
          <w:szCs w:val="24"/>
          <w:shd w:val="clear" w:color="auto" w:fill="FFFFFF"/>
        </w:rPr>
        <w:t>专业标签打印机</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含剥离器，内存4MB闪存，打印分辨率300dpi，最大打印宽度104mm，最大打印长度990mm，最大打印速度104mm /秒，连接USB双向，打印方式 热转打印，支持条码及二维码打印普通标签打印机</w:t>
      </w:r>
      <w:bookmarkStart w:id="3" w:name="_GoBack"/>
      <w:bookmarkEnd w:id="3"/>
    </w:p>
    <w:p>
      <w:pPr>
        <w:spacing w:line="360" w:lineRule="auto"/>
        <w:rPr>
          <w:rFonts w:hint="eastAsia" w:ascii="宋体" w:hAnsi="宋体" w:eastAsia="宋体" w:cs="宋体"/>
          <w:b/>
          <w:bCs/>
          <w:color w:val="333333"/>
          <w:sz w:val="24"/>
          <w:szCs w:val="24"/>
          <w:shd w:val="clear" w:color="auto" w:fill="FFFFFF"/>
        </w:rPr>
      </w:pPr>
      <w:r>
        <w:rPr>
          <w:rFonts w:hint="eastAsia" w:ascii="宋体" w:hAnsi="宋体" w:eastAsia="宋体" w:cs="宋体"/>
          <w:b/>
          <w:bCs/>
          <w:color w:val="333333"/>
          <w:sz w:val="24"/>
          <w:szCs w:val="24"/>
          <w:shd w:val="clear" w:color="auto" w:fill="FFFFFF"/>
        </w:rPr>
        <w:t>普通标签打印机</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内存8MB闪存，打印分辨率203dpi，最大打印宽度104mm，最大打印长度990mm，最大打印速度102mm /秒，连接USB双向，打印方式 热转打印或热敏模式，支持条码及二维码打印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B13F03"/>
    <w:multiLevelType w:val="singleLevel"/>
    <w:tmpl w:val="ACB13F03"/>
    <w:lvl w:ilvl="0" w:tentative="0">
      <w:start w:val="1"/>
      <w:numFmt w:val="decimal"/>
      <w:lvlText w:val="%1."/>
      <w:lvlJc w:val="left"/>
      <w:pPr>
        <w:ind w:left="425" w:hanging="425"/>
      </w:pPr>
      <w:rPr>
        <w:rFonts w:hint="default"/>
      </w:rPr>
    </w:lvl>
  </w:abstractNum>
  <w:abstractNum w:abstractNumId="1">
    <w:nsid w:val="34E619B7"/>
    <w:multiLevelType w:val="singleLevel"/>
    <w:tmpl w:val="34E619B7"/>
    <w:lvl w:ilvl="0" w:tentative="0">
      <w:start w:val="3"/>
      <w:numFmt w:val="chineseCounting"/>
      <w:suff w:val="nothing"/>
      <w:lvlText w:val="%1、"/>
      <w:lvlJc w:val="left"/>
      <w:rPr>
        <w:rFonts w:hint="eastAsia"/>
      </w:rPr>
    </w:lvl>
  </w:abstractNum>
  <w:abstractNum w:abstractNumId="2">
    <w:nsid w:val="7A6EA4DB"/>
    <w:multiLevelType w:val="singleLevel"/>
    <w:tmpl w:val="7A6EA4DB"/>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D9D"/>
    <w:rsid w:val="00044999"/>
    <w:rsid w:val="00334131"/>
    <w:rsid w:val="004023D7"/>
    <w:rsid w:val="004A0B47"/>
    <w:rsid w:val="005212F4"/>
    <w:rsid w:val="005702BE"/>
    <w:rsid w:val="007B7322"/>
    <w:rsid w:val="008241FE"/>
    <w:rsid w:val="00842C34"/>
    <w:rsid w:val="008A5D9D"/>
    <w:rsid w:val="0090300C"/>
    <w:rsid w:val="00BF68BE"/>
    <w:rsid w:val="00C87CB8"/>
    <w:rsid w:val="00E16F98"/>
    <w:rsid w:val="078D609D"/>
    <w:rsid w:val="0FD144C8"/>
    <w:rsid w:val="11205240"/>
    <w:rsid w:val="13AE4CB7"/>
    <w:rsid w:val="173D5EBD"/>
    <w:rsid w:val="21DE5DB8"/>
    <w:rsid w:val="3B71461C"/>
    <w:rsid w:val="3D582806"/>
    <w:rsid w:val="3FB3605B"/>
    <w:rsid w:val="42CE475F"/>
    <w:rsid w:val="448D373E"/>
    <w:rsid w:val="47883A74"/>
    <w:rsid w:val="49D4337A"/>
    <w:rsid w:val="4C1D6242"/>
    <w:rsid w:val="4F591D7C"/>
    <w:rsid w:val="53204F0B"/>
    <w:rsid w:val="541F6A5B"/>
    <w:rsid w:val="54981404"/>
    <w:rsid w:val="5F385FE3"/>
    <w:rsid w:val="683C54EC"/>
    <w:rsid w:val="71C66D6F"/>
    <w:rsid w:val="73722894"/>
    <w:rsid w:val="75A476F3"/>
    <w:rsid w:val="7D5A23FD"/>
    <w:rsid w:val="7EB2505F"/>
    <w:rsid w:val="7F8A3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Table Paragraph"/>
    <w:basedOn w:val="1"/>
    <w:qFormat/>
    <w:uiPriority w:val="1"/>
    <w:rPr>
      <w:rFonts w:ascii="宋体" w:hAnsi="宋体" w:eastAsia="宋体" w:cs="宋体"/>
      <w:szCs w:val="24"/>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1358</Words>
  <Characters>7742</Characters>
  <Lines>64</Lines>
  <Paragraphs>18</Paragraphs>
  <TotalTime>1</TotalTime>
  <ScaleCrop>false</ScaleCrop>
  <LinksUpToDate>false</LinksUpToDate>
  <CharactersWithSpaces>9082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2021-04-21T14:17:00Z</dcterms:created>
  <dc:creator>夏开旺</dc:creator>
  <cp:lastModifiedBy>申熊飞</cp:lastModifiedBy>
  <dcterms:modified xsi:type="dcterms:W3CDTF">2021-05-14T00:58:40Z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8735EE2DF4164E17B2E9EDEA2FD5FB2A</vt:lpwstr>
  </property>
</Properties>
</file>