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仿宋_GB2312"/>
          <w:bCs/>
          <w:lang w:eastAsia="zh-CN"/>
        </w:rPr>
      </w:pPr>
      <w:r>
        <w:rPr>
          <w:rFonts w:hint="eastAsia" w:ascii="仿宋_GB2312" w:hAnsi="仿宋" w:eastAsia="仿宋_GB2312" w:cs="仿宋"/>
          <w:color w:val="000000"/>
          <w:kern w:val="0"/>
          <w:sz w:val="32"/>
          <w:szCs w:val="32"/>
        </w:rPr>
        <w:t>机房服务器和存储维保</w:t>
      </w:r>
      <w:r>
        <w:rPr>
          <w:rFonts w:hint="eastAsia" w:ascii="仿宋_GB2312" w:hAnsi="仿宋" w:eastAsia="仿宋_GB2312" w:cs="仿宋"/>
          <w:color w:val="000000"/>
          <w:kern w:val="0"/>
          <w:sz w:val="32"/>
          <w:szCs w:val="32"/>
          <w:lang w:eastAsia="zh-CN"/>
        </w:rPr>
        <w:t>要求</w:t>
      </w:r>
    </w:p>
    <w:p>
      <w:pPr>
        <w:pStyle w:val="2"/>
      </w:pPr>
      <w:r>
        <w:rPr>
          <w:rFonts w:hint="eastAsia"/>
          <w:lang w:eastAsia="zh-CN"/>
        </w:rPr>
        <w:t>一</w:t>
      </w:r>
      <w:r>
        <w:rPr>
          <w:rFonts w:hint="eastAsia"/>
        </w:rPr>
        <w:t>、维保服务体系</w:t>
      </w:r>
    </w:p>
    <w:p>
      <w:pPr>
        <w:spacing w:line="360" w:lineRule="auto"/>
      </w:pPr>
      <w:r>
        <w:rPr>
          <w:rFonts w:hint="eastAsia"/>
        </w:rPr>
        <w:t>1．维保设备清单</w:t>
      </w:r>
    </w:p>
    <w:p>
      <w:pPr>
        <w:spacing w:line="360" w:lineRule="auto"/>
      </w:pPr>
      <w:r>
        <w:rPr>
          <w:rFonts w:hint="eastAsia"/>
        </w:rPr>
        <w:t>1</w:t>
      </w:r>
      <w:r>
        <w:t>.1</w:t>
      </w:r>
      <w:r>
        <w:rPr>
          <w:rFonts w:hint="eastAsia"/>
        </w:rPr>
        <w:t>新院区设备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rPr>
                <w:b/>
                <w:bCs/>
              </w:rPr>
            </w:pPr>
            <w:r>
              <w:rPr>
                <w:rFonts w:hint="eastAsia"/>
                <w:b/>
                <w:bCs/>
              </w:rPr>
              <w:t>型号</w:t>
            </w:r>
          </w:p>
        </w:tc>
        <w:tc>
          <w:tcPr>
            <w:tcW w:w="2126" w:type="dxa"/>
          </w:tcPr>
          <w:p>
            <w:pPr>
              <w:spacing w:line="360" w:lineRule="auto"/>
              <w:rPr>
                <w:b/>
                <w:bCs/>
              </w:rPr>
            </w:pPr>
            <w:r>
              <w:rPr>
                <w:rFonts w:hint="eastAsia"/>
                <w:b/>
                <w:bCs/>
              </w:rPr>
              <w:t>序列号</w:t>
            </w:r>
          </w:p>
        </w:tc>
        <w:tc>
          <w:tcPr>
            <w:tcW w:w="930" w:type="dxa"/>
          </w:tcPr>
          <w:p>
            <w:pPr>
              <w:spacing w:line="360" w:lineRule="auto"/>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HP ProLiant DL360e Gen8</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IBM X3650 MT 7979</w:t>
            </w:r>
          </w:p>
        </w:tc>
        <w:tc>
          <w:tcPr>
            <w:tcW w:w="2126" w:type="dxa"/>
          </w:tcPr>
          <w:p>
            <w:pPr>
              <w:spacing w:line="360" w:lineRule="auto"/>
            </w:pPr>
            <w:r>
              <w:t>SN 99KK052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CISCO UCS C210 M1</w:t>
            </w:r>
          </w:p>
        </w:tc>
        <w:tc>
          <w:tcPr>
            <w:tcW w:w="2126" w:type="dxa"/>
          </w:tcPr>
          <w:p>
            <w:pPr>
              <w:spacing w:line="360" w:lineRule="auto"/>
            </w:pPr>
            <w:r>
              <w:t>SN QC11403A5A7</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R710</w:t>
            </w:r>
          </w:p>
        </w:tc>
        <w:tc>
          <w:tcPr>
            <w:tcW w:w="2126" w:type="dxa"/>
          </w:tcPr>
          <w:p>
            <w:pPr>
              <w:spacing w:line="360" w:lineRule="auto"/>
            </w:pPr>
            <w:r>
              <w:t>ST JFG9C3X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CISCO UCS C200 M1</w:t>
            </w:r>
          </w:p>
        </w:tc>
        <w:tc>
          <w:tcPr>
            <w:tcW w:w="2126" w:type="dxa"/>
          </w:tcPr>
          <w:p>
            <w:pPr>
              <w:spacing w:line="360" w:lineRule="auto"/>
            </w:pPr>
            <w:r>
              <w:t>SN QCT1408A4N2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CISCO UCS C210 M1</w:t>
            </w:r>
          </w:p>
        </w:tc>
        <w:tc>
          <w:tcPr>
            <w:tcW w:w="2126" w:type="dxa"/>
          </w:tcPr>
          <w:p>
            <w:pPr>
              <w:spacing w:line="360" w:lineRule="auto"/>
            </w:pPr>
            <w:r>
              <w:t>SN QC11404A01L</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CISCO UCS C210 M1</w:t>
            </w:r>
          </w:p>
        </w:tc>
        <w:tc>
          <w:tcPr>
            <w:tcW w:w="2126" w:type="dxa"/>
          </w:tcPr>
          <w:p>
            <w:pPr>
              <w:spacing w:line="360" w:lineRule="auto"/>
            </w:pPr>
            <w:r>
              <w:t>SN QC11404A01M</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SC200扩展柜</w:t>
            </w:r>
          </w:p>
        </w:tc>
        <w:tc>
          <w:tcPr>
            <w:tcW w:w="2126" w:type="dxa"/>
          </w:tcPr>
          <w:p>
            <w:pPr>
              <w:spacing w:line="360" w:lineRule="auto"/>
            </w:pPr>
            <w:r>
              <w:t>ST 45Y44N2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SC200扩展柜</w:t>
            </w:r>
          </w:p>
        </w:tc>
        <w:tc>
          <w:tcPr>
            <w:tcW w:w="2126" w:type="dxa"/>
          </w:tcPr>
          <w:p>
            <w:pPr>
              <w:spacing w:line="360" w:lineRule="auto"/>
            </w:pPr>
            <w:r>
              <w:t>ST DTXZLG2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SC4020机头</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Brocade 300</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Brocade 300</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Compelent Series 30 Controller CT</w:t>
            </w:r>
            <w:r>
              <w:rPr>
                <w:rFonts w:hint="eastAsia"/>
              </w:rPr>
              <w:t>-</w:t>
            </w:r>
            <w:r>
              <w:t>030</w:t>
            </w:r>
          </w:p>
        </w:tc>
        <w:tc>
          <w:tcPr>
            <w:tcW w:w="2126" w:type="dxa"/>
          </w:tcPr>
          <w:p>
            <w:pPr>
              <w:spacing w:line="360" w:lineRule="auto"/>
            </w:pPr>
            <w:r>
              <w:t>SN AVC3160611191</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Compelent Series 30 Controller CT</w:t>
            </w:r>
            <w:r>
              <w:rPr>
                <w:rFonts w:hint="eastAsia"/>
              </w:rPr>
              <w:t>-</w:t>
            </w:r>
            <w:r>
              <w:t>030</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32J4D3X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FZH4D3C</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42J4D3X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SUN Oracle SPARC T5</w:t>
            </w:r>
            <w:r>
              <w:rPr>
                <w:rFonts w:hint="eastAsia"/>
              </w:rPr>
              <w:t>-</w:t>
            </w:r>
            <w:r>
              <w:t>2</w:t>
            </w:r>
          </w:p>
        </w:tc>
        <w:tc>
          <w:tcPr>
            <w:tcW w:w="2126" w:type="dxa"/>
          </w:tcPr>
          <w:p>
            <w:pPr>
              <w:spacing w:line="360" w:lineRule="auto"/>
            </w:pPr>
            <w:r>
              <w:t>SN AK00374563</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SUN Oracle SPARC T5</w:t>
            </w:r>
            <w:r>
              <w:rPr>
                <w:rFonts w:hint="eastAsia"/>
              </w:rPr>
              <w:t>-</w:t>
            </w:r>
            <w:r>
              <w:t>2</w:t>
            </w:r>
          </w:p>
        </w:tc>
        <w:tc>
          <w:tcPr>
            <w:tcW w:w="2126" w:type="dxa"/>
          </w:tcPr>
          <w:p>
            <w:pPr>
              <w:spacing w:line="360" w:lineRule="auto"/>
            </w:pPr>
            <w:r>
              <w:t>SN AK00374564</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ThinkServer RS260 MT70TJ</w:t>
            </w:r>
            <w:r>
              <w:rPr>
                <w:rFonts w:hint="eastAsia"/>
              </w:rPr>
              <w:t>-</w:t>
            </w:r>
            <w:r>
              <w:t>A00LCN</w:t>
            </w:r>
          </w:p>
        </w:tc>
        <w:tc>
          <w:tcPr>
            <w:tcW w:w="2126" w:type="dxa"/>
          </w:tcPr>
          <w:p>
            <w:pPr>
              <w:spacing w:line="360" w:lineRule="auto"/>
            </w:pPr>
            <w:r>
              <w:t>SN PCONS5XQ</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IBM X3650 M3 MT 7945</w:t>
            </w:r>
            <w:r>
              <w:rPr>
                <w:rFonts w:hint="eastAsia"/>
              </w:rPr>
              <w:t>-</w:t>
            </w:r>
            <w:r>
              <w:t>005</w:t>
            </w:r>
          </w:p>
        </w:tc>
        <w:tc>
          <w:tcPr>
            <w:tcW w:w="2126" w:type="dxa"/>
          </w:tcPr>
          <w:p>
            <w:pPr>
              <w:spacing w:line="360" w:lineRule="auto"/>
            </w:pPr>
            <w:r>
              <w:t>SN 06ABF19</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IBM X3650 M3 MT 7945</w:t>
            </w:r>
            <w:r>
              <w:rPr>
                <w:rFonts w:hint="eastAsia"/>
              </w:rPr>
              <w:t>-</w:t>
            </w:r>
            <w:r>
              <w:t>005</w:t>
            </w:r>
          </w:p>
        </w:tc>
        <w:tc>
          <w:tcPr>
            <w:tcW w:w="2126" w:type="dxa"/>
          </w:tcPr>
          <w:p>
            <w:pPr>
              <w:spacing w:line="360" w:lineRule="auto"/>
            </w:pPr>
            <w:r>
              <w:t>SN 06VN029</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EMC R940xa</w:t>
            </w:r>
          </w:p>
        </w:tc>
        <w:tc>
          <w:tcPr>
            <w:tcW w:w="2126" w:type="dxa"/>
          </w:tcPr>
          <w:p>
            <w:pPr>
              <w:spacing w:line="360" w:lineRule="auto"/>
            </w:pPr>
            <w:r>
              <w:t>ST J5250S2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EMC R940xa</w:t>
            </w:r>
          </w:p>
        </w:tc>
        <w:tc>
          <w:tcPr>
            <w:tcW w:w="2126" w:type="dxa"/>
          </w:tcPr>
          <w:p>
            <w:pPr>
              <w:spacing w:line="360" w:lineRule="auto"/>
            </w:pPr>
            <w:r>
              <w:t>ST GZJB5T2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IBM X3400台式</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Lenovo M7150台式机</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1ZH4D3X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21J4D3X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GQQF53X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JYH4D3X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7ZH4D3X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5YH4D3X</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PowerEdge R910</w:t>
            </w:r>
          </w:p>
        </w:tc>
        <w:tc>
          <w:tcPr>
            <w:tcW w:w="2126" w:type="dxa"/>
          </w:tcPr>
          <w:p>
            <w:pPr>
              <w:spacing w:line="360" w:lineRule="auto"/>
            </w:pPr>
            <w:r>
              <w:t>ST BYH4D3X</w:t>
            </w:r>
          </w:p>
        </w:tc>
        <w:tc>
          <w:tcPr>
            <w:tcW w:w="930" w:type="dxa"/>
          </w:tcPr>
          <w:p>
            <w:pPr>
              <w:spacing w:line="360" w:lineRule="auto"/>
            </w:pPr>
            <w:r>
              <w:t>1台</w:t>
            </w:r>
          </w:p>
        </w:tc>
      </w:tr>
    </w:tbl>
    <w:p>
      <w:pPr>
        <w:spacing w:line="360" w:lineRule="auto"/>
      </w:pPr>
    </w:p>
    <w:p>
      <w:pPr>
        <w:spacing w:line="360" w:lineRule="auto"/>
      </w:pPr>
      <w:r>
        <w:rPr>
          <w:rFonts w:hint="eastAsia"/>
        </w:rPr>
        <w:t>1</w:t>
      </w:r>
      <w:r>
        <w:t>.2</w:t>
      </w:r>
      <w:r>
        <w:rPr>
          <w:rFonts w:hint="eastAsia"/>
        </w:rPr>
        <w:t>老院区设备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rPr>
                <w:b/>
                <w:bCs/>
              </w:rPr>
            </w:pPr>
            <w:r>
              <w:rPr>
                <w:rFonts w:hint="eastAsia"/>
                <w:b/>
                <w:bCs/>
              </w:rPr>
              <w:t>型号</w:t>
            </w:r>
          </w:p>
        </w:tc>
        <w:tc>
          <w:tcPr>
            <w:tcW w:w="2126" w:type="dxa"/>
          </w:tcPr>
          <w:p>
            <w:pPr>
              <w:spacing w:line="360" w:lineRule="auto"/>
              <w:rPr>
                <w:b/>
                <w:bCs/>
              </w:rPr>
            </w:pPr>
            <w:r>
              <w:rPr>
                <w:rFonts w:hint="eastAsia"/>
                <w:b/>
                <w:bCs/>
              </w:rPr>
              <w:t>序列号</w:t>
            </w:r>
          </w:p>
        </w:tc>
        <w:tc>
          <w:tcPr>
            <w:tcW w:w="930" w:type="dxa"/>
          </w:tcPr>
          <w:p>
            <w:pPr>
              <w:spacing w:line="360" w:lineRule="auto"/>
              <w:rPr>
                <w:b/>
                <w:bCs/>
              </w:rPr>
            </w:pPr>
            <w:r>
              <w:rPr>
                <w:rFonts w:hint="eastAsia"/>
                <w:b/>
                <w:bCs/>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w:t>
            </w:r>
            <w:r>
              <w:rPr>
                <w:rFonts w:hint="eastAsia"/>
              </w:rPr>
              <w:t>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w:t>
            </w:r>
            <w:r>
              <w:rPr>
                <w:rFonts w:hint="eastAsia"/>
              </w:rPr>
              <w:t>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w:t>
            </w:r>
            <w:r>
              <w:rPr>
                <w:rFonts w:hint="eastAsia"/>
              </w:rPr>
              <w:t>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Compellent Fluid Data</w:t>
            </w:r>
            <w:r>
              <w:rPr>
                <w:rFonts w:hint="eastAsia"/>
              </w:rPr>
              <w:t>扩展柜</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Compelent Series 30 Controller CT</w:t>
            </w:r>
            <w:r>
              <w:rPr>
                <w:rFonts w:hint="eastAsia"/>
              </w:rPr>
              <w:t>-</w:t>
            </w:r>
            <w:r>
              <w:t>030</w:t>
            </w:r>
          </w:p>
        </w:tc>
        <w:tc>
          <w:tcPr>
            <w:tcW w:w="2126" w:type="dxa"/>
          </w:tcPr>
          <w:p>
            <w:pPr>
              <w:spacing w:line="360" w:lineRule="auto"/>
            </w:pPr>
            <w:r>
              <w:t>SN AVC3068611022</w:t>
            </w: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DELL Compelent Series 30 Controller CT</w:t>
            </w:r>
            <w:r>
              <w:rPr>
                <w:rFonts w:hint="eastAsia"/>
              </w:rPr>
              <w:t>-</w:t>
            </w:r>
            <w:r>
              <w:t>030</w:t>
            </w:r>
          </w:p>
        </w:tc>
        <w:tc>
          <w:tcPr>
            <w:tcW w:w="2126" w:type="dxa"/>
          </w:tcPr>
          <w:p>
            <w:pPr>
              <w:spacing w:line="360" w:lineRule="auto"/>
            </w:pPr>
          </w:p>
        </w:tc>
        <w:tc>
          <w:tcPr>
            <w:tcW w:w="930" w:type="dxa"/>
          </w:tcPr>
          <w:p>
            <w:pPr>
              <w:spacing w:line="360" w:lineRule="auto"/>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spacing w:line="360" w:lineRule="auto"/>
            </w:pPr>
            <w:r>
              <w:t>Brocade 300</w:t>
            </w:r>
          </w:p>
        </w:tc>
        <w:tc>
          <w:tcPr>
            <w:tcW w:w="2126" w:type="dxa"/>
          </w:tcPr>
          <w:p>
            <w:pPr>
              <w:spacing w:line="360" w:lineRule="auto"/>
            </w:pPr>
          </w:p>
        </w:tc>
        <w:tc>
          <w:tcPr>
            <w:tcW w:w="930" w:type="dxa"/>
          </w:tcPr>
          <w:p>
            <w:pPr>
              <w:spacing w:line="360" w:lineRule="auto"/>
            </w:pPr>
            <w:r>
              <w:t>1台</w:t>
            </w:r>
          </w:p>
        </w:tc>
      </w:tr>
    </w:tbl>
    <w:p>
      <w:pPr>
        <w:pStyle w:val="3"/>
        <w:spacing w:before="0" w:beforeAutospacing="0" w:after="0" w:afterAutospacing="0" w:line="360" w:lineRule="auto"/>
        <w:rPr>
          <w:rFonts w:cs="Calibri"/>
        </w:rPr>
      </w:pPr>
    </w:p>
    <w:p>
      <w:pPr>
        <w:pStyle w:val="3"/>
        <w:spacing w:before="0" w:beforeAutospacing="0" w:after="0" w:afterAutospacing="0" w:line="360" w:lineRule="auto"/>
        <w:rPr>
          <w:rFonts w:cs="Calibri"/>
          <w:b/>
          <w:bCs/>
        </w:rPr>
      </w:pPr>
      <w:r>
        <w:rPr>
          <w:rFonts w:cs="Calibri"/>
          <w:b/>
          <w:bCs/>
        </w:rPr>
        <w:t>2</w:t>
      </w:r>
      <w:r>
        <w:rPr>
          <w:rFonts w:hint="eastAsia" w:cs="Calibri"/>
          <w:b/>
          <w:bCs/>
        </w:rPr>
        <w:t>.维保服务要求</w:t>
      </w:r>
    </w:p>
    <w:p>
      <w:pPr>
        <w:pStyle w:val="3"/>
        <w:spacing w:before="0" w:beforeAutospacing="0" w:after="0" w:afterAutospacing="0" w:line="360" w:lineRule="auto"/>
        <w:rPr>
          <w:rFonts w:cs="Calibri"/>
        </w:rPr>
      </w:pPr>
      <w:r>
        <w:rPr>
          <w:rFonts w:cs="Calibri"/>
        </w:rPr>
        <w:t>2.1</w:t>
      </w:r>
      <w:r>
        <w:rPr>
          <w:rFonts w:hint="eastAsia" w:cs="Calibri"/>
        </w:rPr>
        <w:t>电话支持服务</w:t>
      </w:r>
    </w:p>
    <w:p>
      <w:pPr>
        <w:pStyle w:val="3"/>
        <w:spacing w:before="0" w:beforeAutospacing="0" w:after="0" w:afterAutospacing="0" w:line="360" w:lineRule="auto"/>
        <w:rPr>
          <w:rFonts w:cs="Calibri"/>
        </w:rPr>
      </w:pPr>
      <w:r>
        <w:rPr>
          <w:rFonts w:cs="Calibri"/>
        </w:rPr>
        <w:t>2.2</w:t>
      </w:r>
      <w:r>
        <w:rPr>
          <w:rFonts w:hint="eastAsia" w:cs="Calibri"/>
        </w:rPr>
        <w:t>远程支持及诊断服务</w:t>
      </w:r>
    </w:p>
    <w:p>
      <w:pPr>
        <w:pStyle w:val="3"/>
        <w:spacing w:before="0" w:beforeAutospacing="0" w:after="0" w:afterAutospacing="0" w:line="360" w:lineRule="auto"/>
        <w:rPr>
          <w:rFonts w:cs="Calibri"/>
        </w:rPr>
      </w:pPr>
      <w:r>
        <w:rPr>
          <w:rFonts w:cs="Calibri"/>
        </w:rPr>
        <w:t>2.3</w:t>
      </w:r>
      <w:r>
        <w:rPr>
          <w:rFonts w:hint="eastAsia" w:cs="Calibri"/>
        </w:rPr>
        <w:t>平时的定期预防性维护</w:t>
      </w:r>
    </w:p>
    <w:p>
      <w:pPr>
        <w:pStyle w:val="3"/>
        <w:spacing w:before="0" w:beforeAutospacing="0" w:after="0" w:afterAutospacing="0" w:line="360" w:lineRule="auto"/>
        <w:rPr>
          <w:rFonts w:cs="Calibri"/>
        </w:rPr>
      </w:pPr>
      <w:r>
        <w:rPr>
          <w:rFonts w:cs="Calibri"/>
        </w:rPr>
        <w:t>2.4</w:t>
      </w:r>
      <w:r>
        <w:rPr>
          <w:rFonts w:hint="eastAsia" w:cs="Calibri"/>
        </w:rPr>
        <w:t>设备出现故障后的紧急修复、备件及时供应</w:t>
      </w:r>
    </w:p>
    <w:p>
      <w:pPr>
        <w:pStyle w:val="3"/>
        <w:spacing w:before="0" w:beforeAutospacing="0" w:after="0" w:afterAutospacing="0" w:line="360" w:lineRule="auto"/>
        <w:rPr>
          <w:rFonts w:cs="Calibri"/>
        </w:rPr>
      </w:pPr>
      <w:r>
        <w:rPr>
          <w:rFonts w:cs="Calibri"/>
        </w:rPr>
        <w:t>2.5</w:t>
      </w:r>
      <w:r>
        <w:rPr>
          <w:rFonts w:hint="eastAsia" w:cs="Calibri"/>
        </w:rPr>
        <w:t>故障响应、抵达现场及修复时间承诺</w:t>
      </w:r>
    </w:p>
    <w:p>
      <w:pPr>
        <w:pStyle w:val="3"/>
        <w:spacing w:before="0" w:beforeAutospacing="0" w:after="0" w:afterAutospacing="0" w:line="360" w:lineRule="auto"/>
        <w:rPr>
          <w:rFonts w:cs="Calibri"/>
        </w:rPr>
      </w:pPr>
      <w:r>
        <w:rPr>
          <w:rFonts w:cs="Calibri"/>
        </w:rPr>
        <w:t>2.6</w:t>
      </w:r>
      <w:r>
        <w:rPr>
          <w:rFonts w:hint="eastAsia" w:cs="Calibri"/>
        </w:rPr>
        <w:t>重大故障会诊</w:t>
      </w:r>
    </w:p>
    <w:p>
      <w:pPr>
        <w:pStyle w:val="3"/>
        <w:spacing w:before="0" w:beforeAutospacing="0" w:after="0" w:afterAutospacing="0" w:line="360" w:lineRule="auto"/>
        <w:rPr>
          <w:rFonts w:cs="Calibri"/>
        </w:rPr>
      </w:pPr>
      <w:r>
        <w:rPr>
          <w:rFonts w:cs="Calibri"/>
        </w:rPr>
        <w:t>2.7</w:t>
      </w:r>
      <w:r>
        <w:rPr>
          <w:rFonts w:hint="eastAsia" w:cs="Calibri"/>
        </w:rPr>
        <w:t>系统性能评估及协助客户方进行系统调试</w:t>
      </w:r>
    </w:p>
    <w:p>
      <w:pPr>
        <w:pStyle w:val="3"/>
        <w:spacing w:before="0" w:beforeAutospacing="0" w:after="0" w:afterAutospacing="0" w:line="360" w:lineRule="auto"/>
        <w:rPr>
          <w:rFonts w:cs="Calibri"/>
        </w:rPr>
      </w:pPr>
      <w:r>
        <w:rPr>
          <w:rFonts w:cs="Calibri"/>
        </w:rPr>
        <w:t>2.8</w:t>
      </w:r>
      <w:r>
        <w:rPr>
          <w:rFonts w:hint="eastAsia" w:cs="Calibri"/>
        </w:rPr>
        <w:t>系统升级、扩充</w:t>
      </w:r>
    </w:p>
    <w:p>
      <w:pPr>
        <w:pStyle w:val="3"/>
        <w:spacing w:before="0" w:beforeAutospacing="0" w:after="0" w:afterAutospacing="0" w:line="360" w:lineRule="auto"/>
        <w:rPr>
          <w:rFonts w:cs="Calibri"/>
        </w:rPr>
      </w:pPr>
      <w:r>
        <w:rPr>
          <w:rFonts w:cs="Calibri"/>
        </w:rPr>
        <w:t>2.9</w:t>
      </w:r>
      <w:r>
        <w:rPr>
          <w:rFonts w:hint="eastAsia" w:cs="Calibri"/>
        </w:rPr>
        <w:t>补丁安装与调整以及微码升级</w:t>
      </w:r>
    </w:p>
    <w:p>
      <w:pPr>
        <w:pStyle w:val="3"/>
        <w:spacing w:before="0" w:beforeAutospacing="0" w:after="0" w:afterAutospacing="0" w:line="360" w:lineRule="auto"/>
        <w:rPr>
          <w:rFonts w:cs="Calibri"/>
        </w:rPr>
      </w:pPr>
      <w:r>
        <w:rPr>
          <w:rFonts w:cs="Calibri"/>
        </w:rPr>
        <w:t>2.10</w:t>
      </w:r>
      <w:r>
        <w:rPr>
          <w:rFonts w:hint="eastAsia" w:cs="Calibri"/>
        </w:rPr>
        <w:t>第三方软件技术协助</w:t>
      </w:r>
    </w:p>
    <w:p>
      <w:pPr>
        <w:pStyle w:val="3"/>
        <w:spacing w:before="0" w:beforeAutospacing="0" w:after="0" w:afterAutospacing="0" w:line="360" w:lineRule="auto"/>
        <w:rPr>
          <w:rFonts w:cs="Calibri"/>
        </w:rPr>
      </w:pPr>
      <w:r>
        <w:rPr>
          <w:rFonts w:cs="Calibri"/>
        </w:rPr>
        <w:t>2.11</w:t>
      </w:r>
      <w:r>
        <w:rPr>
          <w:rFonts w:hint="eastAsia" w:cs="Calibri"/>
        </w:rPr>
        <w:t>后援技术支持</w:t>
      </w:r>
    </w:p>
    <w:p>
      <w:pPr>
        <w:pStyle w:val="3"/>
        <w:spacing w:before="0" w:beforeAutospacing="0" w:after="0" w:afterAutospacing="0" w:line="360" w:lineRule="auto"/>
        <w:rPr>
          <w:rFonts w:cs="Calibri"/>
        </w:rPr>
      </w:pPr>
      <w:r>
        <w:rPr>
          <w:rFonts w:cs="Calibri"/>
        </w:rPr>
        <w:t>2.12</w:t>
      </w:r>
      <w:r>
        <w:rPr>
          <w:rFonts w:hint="eastAsia" w:cs="Calibri"/>
        </w:rPr>
        <w:t>系统优化</w:t>
      </w:r>
    </w:p>
    <w:p>
      <w:pPr>
        <w:pStyle w:val="3"/>
        <w:spacing w:before="0" w:beforeAutospacing="0" w:after="0" w:afterAutospacing="0" w:line="360" w:lineRule="auto"/>
        <w:rPr>
          <w:rFonts w:cs="Calibri"/>
        </w:rPr>
      </w:pPr>
      <w:r>
        <w:rPr>
          <w:rFonts w:cs="Calibri"/>
        </w:rPr>
        <w:t>2.13</w:t>
      </w:r>
      <w:r>
        <w:rPr>
          <w:rFonts w:hint="eastAsia" w:cs="Calibri"/>
        </w:rPr>
        <w:t>技术方案咨询</w:t>
      </w:r>
    </w:p>
    <w:p>
      <w:pPr>
        <w:spacing w:line="360" w:lineRule="auto"/>
      </w:pPr>
      <w:r>
        <w:t>2</w:t>
      </w:r>
      <w:r>
        <w:rPr>
          <w:rFonts w:hint="eastAsia"/>
        </w:rPr>
        <w:t>.</w:t>
      </w:r>
      <w:r>
        <w:t>14定期技术交流及培训等</w:t>
      </w:r>
    </w:p>
    <w:p>
      <w:pPr>
        <w:spacing w:line="360" w:lineRule="auto"/>
      </w:pPr>
      <w:r>
        <w:t>2.15维护服务质量分析会</w:t>
      </w:r>
    </w:p>
    <w:p>
      <w:pPr>
        <w:spacing w:line="360" w:lineRule="auto"/>
        <w:rPr>
          <w:rFonts w:hint="eastAsia"/>
        </w:rPr>
      </w:pPr>
      <w:r>
        <w:t>2.16技术服务报告提交及网上会员服务</w:t>
      </w:r>
    </w:p>
    <w:p>
      <w:pPr>
        <w:spacing w:line="360" w:lineRule="auto"/>
        <w:rPr>
          <w:rFonts w:hint="eastAsia"/>
          <w:b/>
          <w:bCs/>
        </w:rPr>
      </w:pPr>
      <w:r>
        <w:rPr>
          <w:b/>
          <w:bCs/>
        </w:rPr>
        <w:t>3、服务内容</w:t>
      </w:r>
    </w:p>
    <w:p>
      <w:pPr>
        <w:spacing w:line="360" w:lineRule="auto"/>
      </w:pPr>
      <w:r>
        <w:t>3.1.电话支持服务</w:t>
      </w:r>
    </w:p>
    <w:p>
      <w:pPr>
        <w:spacing w:line="360" w:lineRule="auto"/>
        <w:ind w:firstLine="480" w:firstLineChars="200"/>
      </w:pPr>
      <w:r>
        <w:rPr>
          <w:rFonts w:hint="eastAsia"/>
        </w:rPr>
        <w:t>供应商提供</w:t>
      </w:r>
      <w:r>
        <w:t>7*24的值班响应电话，并安排有经验的工程师接受申告。当设</w:t>
      </w:r>
      <w:r>
        <w:rPr>
          <w:rFonts w:hint="eastAsia"/>
        </w:rPr>
        <w:t>备出现故障时，客户通过供应商指定的值班响应电话进行报障。当供应商需要查阅相关资料再对客户的问题进行回复时，对于一级、二级故障确保在</w:t>
      </w:r>
      <w:r>
        <w:t>15分钟内</w:t>
      </w:r>
      <w:r>
        <w:rPr>
          <w:rFonts w:hint="eastAsia"/>
        </w:rPr>
        <w:t>回复，三、四级故障确保在一小时内进行恢复。</w:t>
      </w:r>
    </w:p>
    <w:p>
      <w:pPr>
        <w:spacing w:line="360" w:lineRule="auto"/>
      </w:pPr>
      <w:r>
        <w:t>3.2.远程支持（诊断）服务</w:t>
      </w:r>
    </w:p>
    <w:p>
      <w:pPr>
        <w:spacing w:line="360" w:lineRule="auto"/>
      </w:pPr>
      <w:r>
        <w:t>3.2.1对于通过电话指导不能解决的故障，供应商提供远程技术支援的手段，在</w:t>
      </w:r>
    </w:p>
    <w:p>
      <w:pPr>
        <w:spacing w:line="360" w:lineRule="auto"/>
      </w:pPr>
      <w:r>
        <w:rPr>
          <w:rFonts w:hint="eastAsia"/>
        </w:rPr>
        <w:t>征得客户同意后，通过远程接入手段，登录到故障设备，进行故障诊断，查找故障出现的原因，指导现场维护人员处理故障。</w:t>
      </w:r>
    </w:p>
    <w:p>
      <w:pPr>
        <w:spacing w:line="360" w:lineRule="auto"/>
      </w:pPr>
      <w:r>
        <w:t>3.2.2供应商技术服务人员登录到故障设备，通过诊断，分析故障产生的原因，</w:t>
      </w:r>
      <w:r>
        <w:rPr>
          <w:rFonts w:hint="eastAsia"/>
        </w:rPr>
        <w:t>制定故障解决技术方案后，并电话通知客户，待技术方案经客户批准（客户批准的时间不包含在承诺的服务等级时间内）后，开始进行故障解决方案的具体实施。</w:t>
      </w:r>
    </w:p>
    <w:p>
      <w:pPr>
        <w:spacing w:line="360" w:lineRule="auto"/>
      </w:pPr>
      <w:r>
        <w:t>3.2.3对于支持远程登录的设备，在远程登录过程中，供应商技术人员通过远程</w:t>
      </w:r>
      <w:r>
        <w:rPr>
          <w:rFonts w:hint="eastAsia"/>
        </w:rPr>
        <w:t>登录手段向设备发送的任何指令、报告回显形成命令日志文件；故障处理完毕或告一段落，形成故障处理报告，同命令日志文件一同发送给客户。</w:t>
      </w:r>
    </w:p>
    <w:p>
      <w:pPr>
        <w:spacing w:line="360" w:lineRule="auto"/>
      </w:pPr>
      <w:r>
        <w:t>3.3定期巡检服务</w:t>
      </w:r>
    </w:p>
    <w:p>
      <w:pPr>
        <w:spacing w:line="360" w:lineRule="auto"/>
      </w:pPr>
      <w:r>
        <w:t>3.3.1供应商为客户的设备进行定期的现场检查，及时发现设备运行中出现</w:t>
      </w:r>
      <w:r>
        <w:rPr>
          <w:rFonts w:hint="eastAsia"/>
        </w:rPr>
        <w:t>的隐患，通过系统调整等手段，减少设备发生故障的概率，保证设备稳定、高效运行。</w:t>
      </w:r>
    </w:p>
    <w:p>
      <w:pPr>
        <w:spacing w:line="360" w:lineRule="auto"/>
      </w:pPr>
      <w:r>
        <w:t>3</w:t>
      </w:r>
      <w:r>
        <w:rPr>
          <w:rFonts w:hint="eastAsia"/>
        </w:rPr>
        <w:t>.</w:t>
      </w:r>
      <w:r>
        <w:t>3</w:t>
      </w:r>
      <w:r>
        <w:rPr>
          <w:rFonts w:hint="eastAsia"/>
        </w:rPr>
        <w:t>.</w:t>
      </w:r>
      <w:r>
        <w:t>2供应商每3月提供设备现场巡检服务，对客户设备进行细致</w:t>
      </w:r>
      <w:r>
        <w:rPr>
          <w:rFonts w:hint="eastAsia"/>
        </w:rPr>
        <w:t>全面监视和</w:t>
      </w:r>
      <w:r>
        <w:t>检查，检查的内容包括软件、硬件检查，电源、告警及设备运行</w:t>
      </w:r>
      <w:r>
        <w:rPr>
          <w:rFonts w:hint="eastAsia"/>
        </w:rPr>
        <w:t>环境的检查</w:t>
      </w:r>
      <w:r>
        <w:t>等。对于清单中在设备重要性栏目中罗列出的网络重要接点和应</w:t>
      </w:r>
      <w:r>
        <w:rPr>
          <w:rFonts w:hint="eastAsia"/>
        </w:rPr>
        <w:t>用设备将确</w:t>
      </w:r>
      <w:r>
        <w:t>保每3月提供1次设备现场巡检服务。</w:t>
      </w:r>
    </w:p>
    <w:p>
      <w:pPr>
        <w:spacing w:line="360" w:lineRule="auto"/>
      </w:pPr>
      <w:r>
        <w:t>3.3.3供应商完成现场设备巡检后提供设备巡检记录表。</w:t>
      </w:r>
    </w:p>
    <w:p>
      <w:pPr>
        <w:spacing w:line="360" w:lineRule="auto"/>
      </w:pPr>
      <w:r>
        <w:t>3.3.4供应商在设备巡检完成后三个工作日内提交设备巡检报告，</w:t>
      </w:r>
      <w:r>
        <w:rPr>
          <w:rFonts w:hint="eastAsia"/>
        </w:rPr>
        <w:t>客户可以根</w:t>
      </w:r>
      <w:r>
        <w:t>据需要要求供应商增加或修改设备巡检内容。</w:t>
      </w:r>
    </w:p>
    <w:p>
      <w:pPr>
        <w:spacing w:line="360" w:lineRule="auto"/>
      </w:pPr>
      <w:r>
        <w:t>3.3.5供应商为客户建立设备维修档案，并根据设备运行情况向客</w:t>
      </w:r>
      <w:r>
        <w:rPr>
          <w:rFonts w:hint="eastAsia"/>
        </w:rPr>
        <w:t>户提供设备</w:t>
      </w:r>
      <w:r>
        <w:t>升级、改造、更换的建议和方案。</w:t>
      </w:r>
    </w:p>
    <w:p>
      <w:pPr>
        <w:spacing w:line="360" w:lineRule="auto"/>
      </w:pPr>
      <w:r>
        <w:t>3.3.6对巡检中发现的问题，供应商</w:t>
      </w:r>
      <w:r>
        <w:rPr>
          <w:rFonts w:hint="eastAsia"/>
          <w:lang w:eastAsia="zh-CN"/>
        </w:rPr>
        <w:t>应</w:t>
      </w:r>
      <w:r>
        <w:t>及时提出解决方案和意见，</w:t>
      </w:r>
      <w:r>
        <w:rPr>
          <w:rFonts w:hint="eastAsia"/>
        </w:rPr>
        <w:t>并根据客户的</w:t>
      </w:r>
      <w:r>
        <w:t>要求予以实施，直至排除故障或故障隐患。如果巡检中发现属</w:t>
      </w:r>
      <w:r>
        <w:rPr>
          <w:rFonts w:hint="eastAsia"/>
        </w:rPr>
        <w:t>于故障定义</w:t>
      </w:r>
      <w:r>
        <w:t>中的四个级别的故障或者故障隐患为硬件所致，则在本次巡检报</w:t>
      </w:r>
      <w:r>
        <w:rPr>
          <w:rFonts w:hint="eastAsia"/>
        </w:rPr>
        <w:t>告中提出，客</w:t>
      </w:r>
      <w:r>
        <w:t>户选择是否采用按件更换硬件服务。其他非硬件原因导致的属于</w:t>
      </w:r>
      <w:r>
        <w:rPr>
          <w:rFonts w:hint="eastAsia"/>
        </w:rPr>
        <w:t>故障定义中</w:t>
      </w:r>
      <w:r>
        <w:t>的四个级别的故障或者故障隐患原则上将在本次巡检完成后一并</w:t>
      </w:r>
      <w:r>
        <w:rPr>
          <w:rFonts w:hint="eastAsia"/>
        </w:rPr>
        <w:t>解决。</w:t>
      </w:r>
    </w:p>
    <w:p>
      <w:pPr>
        <w:spacing w:line="360" w:lineRule="auto"/>
      </w:pPr>
      <w:r>
        <w:t>3.4故障发生时的现场支持服务</w:t>
      </w:r>
    </w:p>
    <w:p>
      <w:pPr>
        <w:spacing w:line="360" w:lineRule="auto"/>
      </w:pPr>
      <w:r>
        <w:t>3.4.1一级、二级故障发生后，客户判断电话和远程不能在短时间</w:t>
      </w:r>
      <w:r>
        <w:rPr>
          <w:rFonts w:hint="eastAsia"/>
        </w:rPr>
        <w:t>恢复业务时</w:t>
      </w:r>
      <w:r>
        <w:t>，供应商提供现场服务。供应商安排经验丰富的技术支持工程师携带</w:t>
      </w:r>
      <w:r>
        <w:rPr>
          <w:rFonts w:hint="eastAsia"/>
        </w:rPr>
        <w:t>必要的备件</w:t>
      </w:r>
      <w:r>
        <w:t>和工具，按照规定时限到达现场，分析故障原因，制定故障解决方案，</w:t>
      </w:r>
      <w:r>
        <w:rPr>
          <w:rFonts w:hint="eastAsia"/>
        </w:rPr>
        <w:t>并最终排</w:t>
      </w:r>
      <w:r>
        <w:t>除故障。在提供现场服务时，若客户明确了故障情况是硬件所致后，</w:t>
      </w:r>
      <w:r>
        <w:rPr>
          <w:rFonts w:hint="eastAsia"/>
        </w:rPr>
        <w:t>供应商则携</w:t>
      </w:r>
      <w:r>
        <w:t>带必要的备件到现场，排除故障。</w:t>
      </w:r>
    </w:p>
    <w:p>
      <w:pPr>
        <w:spacing w:line="360" w:lineRule="auto"/>
      </w:pPr>
      <w:r>
        <w:t>(1)现场支持服务前准备工作</w:t>
      </w:r>
    </w:p>
    <w:p>
      <w:pPr>
        <w:pStyle w:val="7"/>
        <w:numPr>
          <w:ilvl w:val="0"/>
          <w:numId w:val="1"/>
        </w:numPr>
        <w:spacing w:line="360" w:lineRule="auto"/>
        <w:ind w:firstLineChars="0"/>
      </w:pPr>
      <w:r>
        <w:rPr>
          <w:rFonts w:hint="eastAsia"/>
        </w:rPr>
        <w:t>查阅用户档案，了解用户设备运行情况及设备以往所发生过的问题及处理办法；</w:t>
      </w:r>
    </w:p>
    <w:p>
      <w:pPr>
        <w:pStyle w:val="7"/>
        <w:numPr>
          <w:ilvl w:val="0"/>
          <w:numId w:val="1"/>
        </w:numPr>
        <w:spacing w:line="360" w:lineRule="auto"/>
        <w:ind w:firstLineChars="0"/>
      </w:pPr>
      <w:r>
        <w:rPr>
          <w:rFonts w:hint="eastAsia"/>
        </w:rPr>
        <w:t>准备技术服务工具、技术服务资料、交通工具、必要的备板备件及软件：</w:t>
      </w:r>
    </w:p>
    <w:p>
      <w:pPr>
        <w:pStyle w:val="7"/>
        <w:numPr>
          <w:ilvl w:val="0"/>
          <w:numId w:val="2"/>
        </w:numPr>
        <w:spacing w:line="360" w:lineRule="auto"/>
        <w:ind w:firstLineChars="0"/>
      </w:pPr>
      <w:r>
        <w:rPr>
          <w:rFonts w:hint="eastAsia"/>
        </w:rPr>
        <w:t>供应商服务人员抵达用户现场，首先提交《技术服务申请》给用户负责人签字确认。</w:t>
      </w:r>
    </w:p>
    <w:p>
      <w:pPr>
        <w:pStyle w:val="7"/>
        <w:numPr>
          <w:ilvl w:val="0"/>
          <w:numId w:val="2"/>
        </w:numPr>
        <w:spacing w:line="360" w:lineRule="auto"/>
        <w:ind w:firstLineChars="0"/>
      </w:pPr>
      <w:r>
        <w:rPr>
          <w:rFonts w:hint="eastAsia"/>
        </w:rPr>
        <w:t>供应商了解设备运行情况，核实故障现象，并根据故障现象对设备进行故障分析、测试、诊断，并制定业务恢复和故障解决技术方案。供应商须保证优先实施业务恢复，在恢复业务的前提下，再进行彻底的故障修复。</w:t>
      </w:r>
    </w:p>
    <w:p>
      <w:pPr>
        <w:pStyle w:val="7"/>
        <w:numPr>
          <w:ilvl w:val="0"/>
          <w:numId w:val="2"/>
        </w:numPr>
        <w:spacing w:line="360" w:lineRule="auto"/>
        <w:ind w:firstLineChars="0"/>
      </w:pPr>
      <w:r>
        <w:rPr>
          <w:rFonts w:hint="eastAsia"/>
        </w:rPr>
        <w:t>如果确定为设备硬件故障，供应商将告之客户维护人员，并与对方确认后，提供设备硬件进行更换。如果是软件故障，供应商需免费修复软件故障；如果无法修复，供应商则免费提供重新安装服务。</w:t>
      </w:r>
    </w:p>
    <w:p>
      <w:pPr>
        <w:pStyle w:val="7"/>
        <w:numPr>
          <w:ilvl w:val="0"/>
          <w:numId w:val="2"/>
        </w:numPr>
        <w:spacing w:line="360" w:lineRule="auto"/>
        <w:ind w:firstLineChars="0"/>
      </w:pPr>
      <w:r>
        <w:rPr>
          <w:rFonts w:hint="eastAsia"/>
        </w:rPr>
        <w:t>供应商服务人员在处理故障时保证不能影响到设备的正常运行，在必须进行系统重装或系统启动等较大操作时，须经客户批准方可实施。</w:t>
      </w:r>
    </w:p>
    <w:p>
      <w:pPr>
        <w:pStyle w:val="7"/>
        <w:numPr>
          <w:ilvl w:val="0"/>
          <w:numId w:val="2"/>
        </w:numPr>
        <w:spacing w:line="360" w:lineRule="auto"/>
        <w:ind w:firstLineChars="0"/>
      </w:pPr>
      <w:r>
        <w:rPr>
          <w:rFonts w:hint="eastAsia"/>
        </w:rPr>
        <w:t>供应商服务人员在处理故障后，向客户维护人员解释故障原因和解决方法，以及在日常维护中的预防措施。</w:t>
      </w:r>
    </w:p>
    <w:p>
      <w:pPr>
        <w:pStyle w:val="7"/>
        <w:numPr>
          <w:ilvl w:val="0"/>
          <w:numId w:val="2"/>
        </w:numPr>
        <w:spacing w:line="360" w:lineRule="auto"/>
        <w:ind w:firstLineChars="0"/>
      </w:pPr>
      <w:r>
        <w:rPr>
          <w:rFonts w:hint="eastAsia"/>
        </w:rPr>
        <w:t>供应商服务人员在处理故障时，填写《故障处理报告》，并在离开现场前交客户客户主管部门存档，同时加入供应商的用户故障处理数据库。《故障处理报告》包含的内容至少有故障描述、故障原因、故障的处理过程和方法、类似故障再发生时的预防方法和防护建议。</w:t>
      </w:r>
    </w:p>
    <w:p>
      <w:pPr>
        <w:spacing w:line="360" w:lineRule="auto"/>
      </w:pPr>
      <w:r>
        <w:rPr>
          <w:rFonts w:hint="eastAsia"/>
        </w:rPr>
        <w:t>（</w:t>
      </w:r>
      <w:r>
        <w:t>2）对故障的定义</w:t>
      </w:r>
    </w:p>
    <w:p>
      <w:pPr>
        <w:spacing w:line="360" w:lineRule="auto"/>
        <w:ind w:firstLine="480" w:firstLineChars="200"/>
      </w:pPr>
      <w:r>
        <w:rPr>
          <w:rFonts w:hint="eastAsia"/>
        </w:rPr>
        <w:t>供应商在规定时间到达现场，根据客户选择的故障解决时限要求即开始不间断工作，直到故障排除。对于影响业务的一级故障，在进行故障处理时，供应商将优先考虑业务恢复，然后再彻底解决故障。</w:t>
      </w:r>
    </w:p>
    <w:p>
      <w:pPr>
        <w:pStyle w:val="7"/>
        <w:numPr>
          <w:ilvl w:val="0"/>
          <w:numId w:val="3"/>
        </w:numPr>
        <w:spacing w:line="360" w:lineRule="auto"/>
        <w:ind w:firstLineChars="0"/>
      </w:pPr>
      <w:r>
        <w:t>故障级别定义：</w:t>
      </w:r>
    </w:p>
    <w:p>
      <w:pPr>
        <w:spacing w:line="360" w:lineRule="auto"/>
      </w:pPr>
      <w:r>
        <w:rPr>
          <w:rFonts w:hint="eastAsia"/>
        </w:rPr>
        <w:t>根据故障的严重程度和影响程度的不同，故障级别由低到高分为四级故障、三级故障、二级故障、一级故障。当故障没有在规定时限内恢复或解决时，故障级别将自动升级。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pacing w:line="360" w:lineRule="auto"/>
            </w:pPr>
            <w:r>
              <w:rPr>
                <w:rFonts w:hint="eastAsia"/>
              </w:rPr>
              <w:t>故障级别</w:t>
            </w:r>
          </w:p>
        </w:tc>
        <w:tc>
          <w:tcPr>
            <w:tcW w:w="1659" w:type="dxa"/>
          </w:tcPr>
          <w:p>
            <w:pPr>
              <w:spacing w:line="360" w:lineRule="auto"/>
            </w:pPr>
            <w:r>
              <w:t>P1级故障</w:t>
            </w:r>
          </w:p>
        </w:tc>
        <w:tc>
          <w:tcPr>
            <w:tcW w:w="1659" w:type="dxa"/>
          </w:tcPr>
          <w:p>
            <w:pPr>
              <w:spacing w:line="360" w:lineRule="auto"/>
            </w:pPr>
            <w:r>
              <w:t>P2级故障</w:t>
            </w:r>
          </w:p>
        </w:tc>
        <w:tc>
          <w:tcPr>
            <w:tcW w:w="1659" w:type="dxa"/>
          </w:tcPr>
          <w:p>
            <w:pPr>
              <w:spacing w:line="360" w:lineRule="auto"/>
            </w:pPr>
            <w:r>
              <w:t>P3级故障</w:t>
            </w:r>
          </w:p>
        </w:tc>
        <w:tc>
          <w:tcPr>
            <w:tcW w:w="1660" w:type="dxa"/>
          </w:tcPr>
          <w:p>
            <w:pPr>
              <w:spacing w:line="360" w:lineRule="auto"/>
            </w:pPr>
            <w:r>
              <w:t>P4级故障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pPr>
            <w:r>
              <w:rPr>
                <w:rFonts w:hint="eastAsia"/>
              </w:rPr>
              <w:t>故障级别定义</w:t>
            </w:r>
          </w:p>
        </w:tc>
        <w:tc>
          <w:tcPr>
            <w:tcW w:w="1659" w:type="dxa"/>
            <w:vAlign w:val="center"/>
          </w:tcPr>
          <w:p>
            <w:pPr>
              <w:spacing w:line="360" w:lineRule="auto"/>
            </w:pPr>
            <w:r>
              <w:rPr>
                <w:rFonts w:hint="eastAsia"/>
              </w:rPr>
              <w:t>重大故障，主机或存储设备瘫痪，业务丢失</w:t>
            </w:r>
          </w:p>
        </w:tc>
        <w:tc>
          <w:tcPr>
            <w:tcW w:w="1659" w:type="dxa"/>
            <w:vAlign w:val="center"/>
          </w:tcPr>
          <w:p>
            <w:pPr>
              <w:spacing w:line="360" w:lineRule="auto"/>
            </w:pPr>
            <w:r>
              <w:rPr>
                <w:rFonts w:hint="eastAsia"/>
              </w:rPr>
              <w:t>主机或存储部分设备故障，影响和限制了部分业务运营</w:t>
            </w:r>
          </w:p>
        </w:tc>
        <w:tc>
          <w:tcPr>
            <w:tcW w:w="1659" w:type="dxa"/>
            <w:vAlign w:val="center"/>
          </w:tcPr>
          <w:p>
            <w:pPr>
              <w:spacing w:line="360" w:lineRule="auto"/>
            </w:pPr>
            <w:r>
              <w:rPr>
                <w:rFonts w:hint="eastAsia"/>
              </w:rPr>
              <w:t>一般性技术故障，发现主机或存储设备的技术问题，但系统仍可正常运行</w:t>
            </w:r>
          </w:p>
        </w:tc>
        <w:tc>
          <w:tcPr>
            <w:tcW w:w="1660" w:type="dxa"/>
            <w:vAlign w:val="center"/>
          </w:tcPr>
          <w:p>
            <w:pPr>
              <w:spacing w:line="360" w:lineRule="auto"/>
            </w:pPr>
            <w:r>
              <w:rPr>
                <w:rFonts w:hint="eastAsia"/>
              </w:rPr>
              <w:t>在主机或存储设备功能，安装或配置方面需要信息或支援，很显然对用户的业务几乎无影响</w:t>
            </w:r>
          </w:p>
        </w:tc>
      </w:tr>
    </w:tbl>
    <w:p>
      <w:pPr>
        <w:spacing w:line="360" w:lineRule="auto"/>
      </w:pPr>
      <w:r>
        <w:rPr>
          <w:rFonts w:hint="eastAsia"/>
        </w:rPr>
        <w:t>（</w:t>
      </w:r>
      <w:r>
        <w:t>3）系统故障处理</w:t>
      </w:r>
      <w:r>
        <w:rPr>
          <w:rFonts w:hint="eastAsia"/>
        </w:rPr>
        <w:t>——</w:t>
      </w:r>
      <w:r>
        <w:t>故障分级，按事件管理流程</w:t>
      </w:r>
    </w:p>
    <w:p>
      <w:pPr>
        <w:spacing w:line="360" w:lineRule="auto"/>
      </w:pPr>
      <w:r>
        <w:rPr>
          <w:rFonts w:hint="eastAsia"/>
        </w:rPr>
        <w:t>系统故障处理，进行故障的分级，具体见</w:t>
      </w:r>
      <w:r>
        <w:t>故障级别定义</w:t>
      </w:r>
      <w:r>
        <w:rPr>
          <w:rFonts w:hint="eastAsia"/>
        </w:rPr>
        <w:t>。按事件管理流程进行系统故障的处理。在系统故障处理中客户担任事件经理的角色，供应商但任从一线、二线支持的角色，分工如下表：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pPr>
            <w:r>
              <w:rPr>
                <w:rFonts w:hint="eastAsia"/>
              </w:rPr>
              <w:t>步骤</w:t>
            </w:r>
          </w:p>
        </w:tc>
        <w:tc>
          <w:tcPr>
            <w:tcW w:w="1276" w:type="dxa"/>
            <w:vAlign w:val="center"/>
          </w:tcPr>
          <w:p>
            <w:pPr>
              <w:spacing w:line="360" w:lineRule="auto"/>
              <w:jc w:val="center"/>
            </w:pPr>
            <w:r>
              <w:rPr>
                <w:rFonts w:hint="eastAsia"/>
              </w:rPr>
              <w:t>责任人</w:t>
            </w:r>
          </w:p>
        </w:tc>
        <w:tc>
          <w:tcPr>
            <w:tcW w:w="5182" w:type="dxa"/>
            <w:vAlign w:val="center"/>
          </w:tcPr>
          <w:p>
            <w:pPr>
              <w:spacing w:line="360" w:lineRule="auto"/>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一</w:t>
            </w:r>
            <w:r>
              <w:t>线尝试解决</w:t>
            </w:r>
          </w:p>
        </w:tc>
        <w:tc>
          <w:tcPr>
            <w:tcW w:w="1276" w:type="dxa"/>
            <w:vAlign w:val="center"/>
          </w:tcPr>
          <w:p>
            <w:pPr>
              <w:spacing w:line="360" w:lineRule="auto"/>
            </w:pPr>
            <w:r>
              <w:rPr>
                <w:rFonts w:hint="eastAsia"/>
              </w:rPr>
              <w:t>一线支持</w:t>
            </w:r>
          </w:p>
        </w:tc>
        <w:tc>
          <w:tcPr>
            <w:tcW w:w="5182" w:type="dxa"/>
            <w:vAlign w:val="center"/>
          </w:tcPr>
          <w:p>
            <w:pPr>
              <w:spacing w:line="360" w:lineRule="auto"/>
            </w:pPr>
            <w:r>
              <w:rPr>
                <w:rFonts w:hint="eastAsia"/>
              </w:rPr>
              <w:t>一线支持人员在接受到由客户派发的事件后，进行调查诊断，尝试解决</w:t>
            </w:r>
          </w:p>
          <w:p>
            <w:pPr>
              <w:spacing w:line="360" w:lineRule="auto"/>
            </w:pPr>
            <w:r>
              <w:rPr>
                <w:rFonts w:hint="eastAsia"/>
              </w:rPr>
              <w:t>对于需要通过变更解决的事件提出变更申请，通过变更流程实施解决方案</w:t>
            </w:r>
          </w:p>
          <w:p>
            <w:pPr>
              <w:spacing w:line="360" w:lineRule="auto"/>
            </w:pPr>
            <w:r>
              <w:rPr>
                <w:rFonts w:hint="eastAsia"/>
              </w:rPr>
              <w:t>事件解决后，在事件管理平台记录事件解决方案并更新事件状态</w:t>
            </w:r>
          </w:p>
          <w:p>
            <w:pPr>
              <w:spacing w:line="360" w:lineRule="auto"/>
            </w:pPr>
            <w:r>
              <w:rPr>
                <w:rFonts w:hint="eastAsia"/>
              </w:rPr>
              <w:t>不能解决的事件，转</w:t>
            </w:r>
            <w:r>
              <w:t>100.2二线尝试解决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t>二线尝试解决</w:t>
            </w:r>
          </w:p>
        </w:tc>
        <w:tc>
          <w:tcPr>
            <w:tcW w:w="1276" w:type="dxa"/>
            <w:vAlign w:val="center"/>
          </w:tcPr>
          <w:p>
            <w:pPr>
              <w:spacing w:line="360" w:lineRule="auto"/>
            </w:pPr>
            <w:r>
              <w:rPr>
                <w:rFonts w:hint="eastAsia"/>
              </w:rPr>
              <w:t>二线支持</w:t>
            </w:r>
          </w:p>
        </w:tc>
        <w:tc>
          <w:tcPr>
            <w:tcW w:w="5182" w:type="dxa"/>
            <w:vAlign w:val="center"/>
          </w:tcPr>
          <w:p>
            <w:pPr>
              <w:spacing w:line="360" w:lineRule="auto"/>
            </w:pPr>
            <w:r>
              <w:rPr>
                <w:rFonts w:hint="eastAsia"/>
              </w:rPr>
              <w:t>二线支持人员接受事件，进行调查诊断，尝试解决方案，在必要时根据服务协议联系厂商帮助解决并负责核查</w:t>
            </w:r>
          </w:p>
          <w:p>
            <w:pPr>
              <w:spacing w:line="360" w:lineRule="auto"/>
            </w:pPr>
            <w:r>
              <w:rPr>
                <w:rFonts w:hint="eastAsia"/>
              </w:rPr>
              <w:t>对于需要通过变更解决的事件提出变更申请，通过变更流程实施解决方案</w:t>
            </w:r>
          </w:p>
          <w:p>
            <w:pPr>
              <w:spacing w:line="360" w:lineRule="auto"/>
            </w:pPr>
            <w:r>
              <w:rPr>
                <w:rFonts w:hint="eastAsia"/>
              </w:rPr>
              <w:t>事件解决后，在事件管理平台记录事件解决方案并更新事件状态</w:t>
            </w:r>
          </w:p>
          <w:p>
            <w:pPr>
              <w:spacing w:line="360" w:lineRule="auto"/>
            </w:pPr>
            <w:r>
              <w:rPr>
                <w:rFonts w:hint="eastAsia"/>
              </w:rPr>
              <w:t>指定时限内不能解决的事件，通告事件经理，由事件经理负责协调资源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紧急事件再确认</w:t>
            </w:r>
          </w:p>
        </w:tc>
        <w:tc>
          <w:tcPr>
            <w:tcW w:w="1276" w:type="dxa"/>
            <w:vAlign w:val="center"/>
          </w:tcPr>
          <w:p>
            <w:pPr>
              <w:spacing w:line="360" w:lineRule="auto"/>
            </w:pPr>
            <w:r>
              <w:rPr>
                <w:rFonts w:hint="eastAsia"/>
              </w:rPr>
              <w:t>一线支持</w:t>
            </w:r>
          </w:p>
        </w:tc>
        <w:tc>
          <w:tcPr>
            <w:tcW w:w="5182" w:type="dxa"/>
            <w:vAlign w:val="center"/>
          </w:tcPr>
          <w:p>
            <w:pPr>
              <w:spacing w:line="360" w:lineRule="auto"/>
            </w:pPr>
            <w:r>
              <w:rPr>
                <w:rFonts w:hint="eastAsia"/>
              </w:rPr>
              <w:t>一线支持人员接受到来自客户的紧急事件后，根据事件优先级别标准再次确认事件是否为紧急事件</w:t>
            </w:r>
          </w:p>
          <w:p>
            <w:pPr>
              <w:spacing w:line="360" w:lineRule="auto"/>
            </w:pPr>
            <w:r>
              <w:rPr>
                <w:rFonts w:hint="eastAsia"/>
              </w:rPr>
              <w:t>如果优先级确实紧急，则通知相应的管理层，并立即升级到事件经理，转</w:t>
            </w:r>
            <w:r>
              <w:t>101紧急事件处理子流程</w:t>
            </w:r>
          </w:p>
          <w:p>
            <w:pPr>
              <w:spacing w:line="360" w:lineRule="auto"/>
            </w:pPr>
            <w:r>
              <w:rPr>
                <w:rFonts w:hint="eastAsia"/>
              </w:rPr>
              <w:t>如不是，转</w:t>
            </w:r>
            <w:r>
              <w:t>100.1一线尝试解决，开始正常事件解决流程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解决方案细节</w:t>
            </w:r>
          </w:p>
        </w:tc>
        <w:tc>
          <w:tcPr>
            <w:tcW w:w="1276" w:type="dxa"/>
            <w:vAlign w:val="center"/>
          </w:tcPr>
          <w:p>
            <w:pPr>
              <w:spacing w:line="360" w:lineRule="auto"/>
            </w:pPr>
            <w:r>
              <w:rPr>
                <w:rFonts w:hint="eastAsia"/>
              </w:rPr>
              <w:t>一线支持</w:t>
            </w:r>
          </w:p>
          <w:p>
            <w:pPr>
              <w:spacing w:line="360" w:lineRule="auto"/>
            </w:pPr>
            <w:r>
              <w:rPr>
                <w:rFonts w:hint="eastAsia"/>
              </w:rPr>
              <w:t>二线支持</w:t>
            </w:r>
          </w:p>
        </w:tc>
        <w:tc>
          <w:tcPr>
            <w:tcW w:w="5182" w:type="dxa"/>
            <w:vAlign w:val="center"/>
          </w:tcPr>
          <w:p>
            <w:pPr>
              <w:spacing w:line="360" w:lineRule="auto"/>
            </w:pPr>
            <w:r>
              <w:rPr>
                <w:rFonts w:hint="eastAsia"/>
              </w:rPr>
              <w:t>在事件得到解决后，各线支持人员负贵详细记录事件解决过程及方案并更新事件信息</w:t>
            </w:r>
          </w:p>
          <w:p>
            <w:pPr>
              <w:spacing w:line="360" w:lineRule="auto"/>
            </w:pPr>
            <w:r>
              <w:rPr>
                <w:rFonts w:hint="eastAsia"/>
              </w:rPr>
              <w:t>针对故障，一线</w:t>
            </w:r>
            <w:r>
              <w:t>/二线支持必须记录业务恢复时间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关闭事件</w:t>
            </w:r>
          </w:p>
        </w:tc>
        <w:tc>
          <w:tcPr>
            <w:tcW w:w="1276" w:type="dxa"/>
            <w:vAlign w:val="center"/>
          </w:tcPr>
          <w:p>
            <w:pPr>
              <w:spacing w:line="360" w:lineRule="auto"/>
            </w:pPr>
            <w:r>
              <w:rPr>
                <w:rFonts w:hint="eastAsia"/>
              </w:rPr>
              <w:t>一线支持</w:t>
            </w:r>
          </w:p>
          <w:p>
            <w:pPr>
              <w:spacing w:line="360" w:lineRule="auto"/>
            </w:pPr>
            <w:r>
              <w:rPr>
                <w:rFonts w:hint="eastAsia"/>
              </w:rPr>
              <w:t>二线支持</w:t>
            </w:r>
          </w:p>
        </w:tc>
        <w:tc>
          <w:tcPr>
            <w:tcW w:w="5182" w:type="dxa"/>
            <w:vAlign w:val="center"/>
          </w:tcPr>
          <w:p>
            <w:pPr>
              <w:spacing w:line="360" w:lineRule="auto"/>
            </w:pPr>
            <w:r>
              <w:rPr>
                <w:rFonts w:hint="eastAsia"/>
              </w:rPr>
              <w:t>申报用户确认事件是否己得到解决，如果解决，事件以成功解决或变通方法解决而关闭；否则，事件以不成功关闭，重新开事件记录，并与原记录做关联，分派到原处理人员继续处理</w:t>
            </w:r>
          </w:p>
          <w:p>
            <w:pPr>
              <w:spacing w:line="360" w:lineRule="auto"/>
            </w:pPr>
            <w:r>
              <w:rPr>
                <w:rFonts w:hint="eastAsia"/>
              </w:rPr>
              <w:t>帮助台在关闭事件的同时必须确认事件单记</w:t>
            </w:r>
            <w:r>
              <w:t>录的业务恢复时</w:t>
            </w:r>
            <w:r>
              <w:rPr>
                <w:rFonts w:hint="eastAsia"/>
              </w:rPr>
              <w:t>间是否准确</w:t>
            </w:r>
          </w:p>
          <w:p>
            <w:pPr>
              <w:spacing w:line="360" w:lineRule="auto"/>
            </w:pPr>
            <w:r>
              <w:rPr>
                <w:rFonts w:hint="eastAsia"/>
              </w:rPr>
              <w:t>其它由一线或二线人员自行创建的事件单，</w:t>
            </w:r>
            <w:r>
              <w:t>则由开单人</w:t>
            </w:r>
            <w:r>
              <w:rPr>
                <w:rFonts w:hint="eastAsia"/>
              </w:rPr>
              <w:t>负责关闭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事件处理的监控</w:t>
            </w:r>
          </w:p>
        </w:tc>
        <w:tc>
          <w:tcPr>
            <w:tcW w:w="1276" w:type="dxa"/>
            <w:vAlign w:val="center"/>
          </w:tcPr>
          <w:p>
            <w:pPr>
              <w:spacing w:line="360" w:lineRule="auto"/>
            </w:pPr>
            <w:r>
              <w:rPr>
                <w:rFonts w:hint="eastAsia"/>
              </w:rPr>
              <w:t>事件经理</w:t>
            </w:r>
          </w:p>
        </w:tc>
        <w:tc>
          <w:tcPr>
            <w:tcW w:w="5182" w:type="dxa"/>
            <w:vAlign w:val="center"/>
          </w:tcPr>
          <w:p>
            <w:pPr>
              <w:spacing w:line="360" w:lineRule="auto"/>
            </w:pPr>
            <w:r>
              <w:rPr>
                <w:rFonts w:hint="eastAsia"/>
              </w:rPr>
              <w:t>负责监控所有未关闭的事件的处理状况，</w:t>
            </w:r>
            <w:r>
              <w:t>对接收到的超时</w:t>
            </w:r>
            <w:r>
              <w:rPr>
                <w:rFonts w:hint="eastAsia"/>
              </w:rPr>
              <w:t>告警应及时关注，并负责协调资源，保证事件的最终解决</w:t>
            </w:r>
          </w:p>
          <w:p>
            <w:pPr>
              <w:spacing w:line="360" w:lineRule="auto"/>
            </w:pPr>
            <w:r>
              <w:rPr>
                <w:rFonts w:hint="eastAsia"/>
              </w:rPr>
              <w:t>当事件优先级为紧急时，应按照紧急事件处理流程处理紧急事件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紧急事件处理流程</w:t>
            </w:r>
          </w:p>
        </w:tc>
        <w:tc>
          <w:tcPr>
            <w:tcW w:w="1276" w:type="dxa"/>
            <w:vAlign w:val="center"/>
          </w:tcPr>
          <w:p>
            <w:pPr>
              <w:spacing w:line="360" w:lineRule="auto"/>
            </w:pPr>
            <w:r>
              <w:rPr>
                <w:rFonts w:hint="eastAsia"/>
              </w:rPr>
              <w:t>事件经理</w:t>
            </w:r>
          </w:p>
        </w:tc>
        <w:tc>
          <w:tcPr>
            <w:tcW w:w="5182" w:type="dxa"/>
            <w:vAlign w:val="center"/>
          </w:tcPr>
          <w:p>
            <w:pPr>
              <w:spacing w:line="360" w:lineRule="auto"/>
            </w:pPr>
            <w:r>
              <w:rPr>
                <w:rFonts w:hint="eastAsia"/>
              </w:rPr>
              <w:t>事件经理负责协调紧急事件的处理，具体过程见紧急事件处理子流程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pPr>
            <w:r>
              <w:rPr>
                <w:rFonts w:hint="eastAsia"/>
              </w:rPr>
              <w:t>维护作业子流程</w:t>
            </w:r>
          </w:p>
        </w:tc>
        <w:tc>
          <w:tcPr>
            <w:tcW w:w="1276" w:type="dxa"/>
            <w:vAlign w:val="center"/>
          </w:tcPr>
          <w:p>
            <w:pPr>
              <w:spacing w:line="360" w:lineRule="auto"/>
            </w:pPr>
            <w:r>
              <w:rPr>
                <w:rFonts w:hint="eastAsia"/>
              </w:rPr>
              <w:t>一线支持</w:t>
            </w:r>
          </w:p>
          <w:p>
            <w:pPr>
              <w:spacing w:line="360" w:lineRule="auto"/>
            </w:pPr>
            <w:r>
              <w:rPr>
                <w:rFonts w:hint="eastAsia"/>
              </w:rPr>
              <w:t>二线支持</w:t>
            </w:r>
          </w:p>
        </w:tc>
        <w:tc>
          <w:tcPr>
            <w:tcW w:w="5182" w:type="dxa"/>
            <w:vAlign w:val="center"/>
          </w:tcPr>
          <w:p>
            <w:pPr>
              <w:spacing w:line="360" w:lineRule="auto"/>
            </w:pPr>
            <w:r>
              <w:rPr>
                <w:rFonts w:hint="eastAsia"/>
              </w:rPr>
              <w:t>根据使用部门核准后的年度维护作业计划/月维护作业计划，维护作业执行人员负责维护作业的关闭</w:t>
            </w:r>
          </w:p>
        </w:tc>
      </w:tr>
    </w:tbl>
    <w:p>
      <w:pPr>
        <w:spacing w:line="360" w:lineRule="auto"/>
      </w:pPr>
      <w:r>
        <w:rPr>
          <w:rFonts w:hint="eastAsia"/>
        </w:rPr>
        <w:t>（</w:t>
      </w:r>
      <w:r>
        <w:t>4）重大故障会诊</w:t>
      </w:r>
    </w:p>
    <w:p>
      <w:pPr>
        <w:spacing w:line="360" w:lineRule="auto"/>
      </w:pPr>
      <w:r>
        <w:rPr>
          <w:rFonts w:hint="eastAsia"/>
        </w:rPr>
        <w:t>对于重大故障，</w:t>
      </w:r>
      <w:r>
        <w:rPr>
          <w:rFonts w:hint="eastAsia"/>
          <w:lang w:eastAsia="zh-CN"/>
        </w:rPr>
        <w:t>厂家</w:t>
      </w:r>
      <w:r>
        <w:rPr>
          <w:rFonts w:hint="eastAsia"/>
        </w:rPr>
        <w:t>尽快组成临时的技术小组：</w:t>
      </w:r>
    </w:p>
    <w:p>
      <w:pPr>
        <w:pStyle w:val="7"/>
        <w:numPr>
          <w:ilvl w:val="0"/>
          <w:numId w:val="4"/>
        </w:numPr>
        <w:spacing w:line="360" w:lineRule="auto"/>
        <w:ind w:left="480" w:leftChars="200" w:firstLineChars="0"/>
      </w:pPr>
      <w:r>
        <w:t>客户方技术人员；</w:t>
      </w:r>
    </w:p>
    <w:p>
      <w:pPr>
        <w:pStyle w:val="7"/>
        <w:numPr>
          <w:ilvl w:val="0"/>
          <w:numId w:val="4"/>
        </w:numPr>
        <w:spacing w:line="360" w:lineRule="auto"/>
        <w:ind w:left="480" w:leftChars="200" w:firstLineChars="0"/>
      </w:pPr>
      <w:r>
        <w:t>项目经理，服务方一线工程师，该设备类别相对应的二线工程师；</w:t>
      </w:r>
    </w:p>
    <w:p>
      <w:pPr>
        <w:pStyle w:val="7"/>
        <w:numPr>
          <w:ilvl w:val="0"/>
          <w:numId w:val="4"/>
        </w:numPr>
        <w:spacing w:line="360" w:lineRule="auto"/>
        <w:ind w:left="480" w:leftChars="200" w:firstLineChars="0"/>
      </w:pPr>
      <w:r>
        <w:t>协同公司的技术人员</w:t>
      </w:r>
    </w:p>
    <w:p>
      <w:pPr>
        <w:pStyle w:val="7"/>
        <w:numPr>
          <w:ilvl w:val="0"/>
          <w:numId w:val="4"/>
        </w:numPr>
        <w:spacing w:line="360" w:lineRule="auto"/>
        <w:ind w:left="480" w:leftChars="200" w:firstLineChars="0"/>
      </w:pPr>
      <w:r>
        <w:t>原厂合作伙伴；</w:t>
      </w:r>
    </w:p>
    <w:p>
      <w:pPr>
        <w:spacing w:line="360" w:lineRule="auto"/>
      </w:pPr>
      <w:r>
        <w:rPr>
          <w:rFonts w:hint="eastAsia"/>
        </w:rPr>
        <w:t>进行会诊，以恢复业务为第一原则。故障解决后，供应商应将详细分析故障原因并回顾处理过程，形成故障分析报告，递交客户，以求避免相同故障的再次发生。同时将该案来添加进知识库共享文档，以便客户查找。</w:t>
      </w:r>
    </w:p>
    <w:p>
      <w:pPr>
        <w:spacing w:line="360" w:lineRule="auto"/>
      </w:pPr>
      <w:r>
        <w:t>3.5.现场损坏件更换服务</w:t>
      </w:r>
    </w:p>
    <w:p>
      <w:pPr>
        <w:spacing w:line="360" w:lineRule="auto"/>
      </w:pPr>
      <w:r>
        <w:rPr>
          <w:rFonts w:hint="eastAsia"/>
        </w:rPr>
        <w:t>供应商承诺：对于服务期内损坏备件</w:t>
      </w:r>
      <w:r>
        <w:t>100％免费更换，所有更换的板件均为</w:t>
      </w:r>
      <w:r>
        <w:rPr>
          <w:rFonts w:hint="eastAsia"/>
        </w:rPr>
        <w:t>与原设备或模块的型号相同，或各项性能规格不低于原有设备或模块的板件。并提供</w:t>
      </w:r>
      <w:r>
        <w:t>7*24小时现场备件更换服务。</w:t>
      </w:r>
    </w:p>
    <w:p>
      <w:pPr>
        <w:spacing w:line="360" w:lineRule="auto"/>
      </w:pPr>
      <w:r>
        <w:t>3.6.系统稳定性、安全性评估</w:t>
      </w:r>
    </w:p>
    <w:p>
      <w:pPr>
        <w:spacing w:line="360" w:lineRule="auto"/>
      </w:pPr>
      <w:r>
        <w:rPr>
          <w:rFonts w:hint="eastAsia"/>
        </w:rPr>
        <w:t>提供基于系统之上的系统性分析及对系统硬件、操作系统、数据库进行综合分析并提出报告和建议，2次/年；协助客户建立系统维护制度和流程；提出数据备份方案设计和评估，提交设计方案和评估报告。</w:t>
      </w:r>
    </w:p>
    <w:p>
      <w:pPr>
        <w:spacing w:line="360" w:lineRule="auto"/>
      </w:pPr>
      <w:r>
        <w:t>3.7.版本管理和软件补丁服务</w:t>
      </w:r>
    </w:p>
    <w:p>
      <w:pPr>
        <w:spacing w:line="360" w:lineRule="auto"/>
      </w:pPr>
      <w:r>
        <w:rPr>
          <w:rFonts w:hint="eastAsia"/>
        </w:rPr>
        <w:t>软件补丁是指对原授权软件所做的修正和补充，是此版本软件运行过程中己发现问题的解决方案，这些软件补丁将对原授权软件起到消除运行中潜在的隐患的作用。软件补丁服务包含预防式补丁服务和响应式补丁服务。</w:t>
      </w:r>
    </w:p>
    <w:p>
      <w:pPr>
        <w:spacing w:line="360" w:lineRule="auto"/>
      </w:pPr>
      <w:r>
        <w:t>3.7.1预防式补丁服务：在己知产品软、硬件缺陷可能导致潜在问题</w:t>
      </w:r>
      <w:r>
        <w:rPr>
          <w:rFonts w:hint="eastAsia"/>
        </w:rPr>
        <w:t>的情况下，通过配置管理或巡检等方式对客户设备进行增补软件分析并提出版本升级建议。由客户进行相关业务、客户影响分析后确认进行。</w:t>
      </w:r>
    </w:p>
    <w:p>
      <w:pPr>
        <w:spacing w:line="360" w:lineRule="auto"/>
      </w:pPr>
      <w:r>
        <w:t>3.7.2响应式补丁服务：当设备出现故障后，双方工程师共同对故障进行分</w:t>
      </w:r>
      <w:r>
        <w:rPr>
          <w:rFonts w:hint="eastAsia"/>
        </w:rPr>
        <w:t>析并确认是软件缺陷所导致的故障，提供针对该软件缺陷的软件补丁程序。</w:t>
      </w:r>
    </w:p>
    <w:p>
      <w:pPr>
        <w:spacing w:line="360" w:lineRule="auto"/>
      </w:pPr>
      <w:r>
        <w:t>3.7.3技术支持工程师在设备维护及设备巡检过程中发现软件存在</w:t>
      </w:r>
      <w:r>
        <w:rPr>
          <w:rFonts w:hint="eastAsia"/>
        </w:rPr>
        <w:t>故障隐患时，经客户同意，提供软件补丁程序。</w:t>
      </w:r>
    </w:p>
    <w:p>
      <w:pPr>
        <w:spacing w:line="360" w:lineRule="auto"/>
      </w:pPr>
      <w:r>
        <w:t>3</w:t>
      </w:r>
      <w:r>
        <w:rPr>
          <w:rFonts w:hint="eastAsia"/>
        </w:rPr>
        <w:t>.</w:t>
      </w:r>
      <w:r>
        <w:t>7.4现场进行版本升</w:t>
      </w:r>
      <w:r>
        <w:rPr>
          <w:rFonts w:hint="eastAsia"/>
        </w:rPr>
        <w:t>级和补丁输入的技术支持工程师均持有相关的资格证书。输入补丁将严格按照客户的工程割接流程和规范进行。在输入补丁过程前，应协助客户制定应急方案，做好测试及系统备份，尽量减少设备中断时间，确保系统的安全性。在输入补丁过程后，双方工程师需对设备和系统进行严格测试，测试通过后，经客户书面确认后，技术支持工程师方可离开现场。</w:t>
      </w:r>
    </w:p>
    <w:p>
      <w:pPr>
        <w:pStyle w:val="2"/>
      </w:pPr>
      <w:r>
        <w:rPr>
          <w:rFonts w:hint="eastAsia"/>
          <w:lang w:eastAsia="zh-CN"/>
        </w:rPr>
        <w:t>二</w:t>
      </w:r>
      <w:r>
        <w:rPr>
          <w:rFonts w:hint="eastAsia"/>
        </w:rPr>
        <w:t>、技术服务要求</w:t>
      </w:r>
    </w:p>
    <w:p>
      <w:pPr>
        <w:spacing w:line="360" w:lineRule="auto"/>
        <w:ind w:firstLine="480" w:firstLineChars="200"/>
        <w:rPr>
          <w:rFonts w:hint="eastAsia"/>
        </w:rPr>
      </w:pPr>
      <w:r>
        <w:rPr>
          <w:rFonts w:hint="eastAsia"/>
        </w:rPr>
        <w:t>由于我院部分硬件设备比较陈旧，在网运行</w:t>
      </w:r>
      <w:bookmarkStart w:id="0" w:name="_GoBack"/>
      <w:bookmarkEnd w:id="0"/>
      <w:r>
        <w:rPr>
          <w:rFonts w:hint="eastAsia"/>
        </w:rPr>
        <w:t>时间较长，设备易出现硬件故障，为及时响应和解决故障，供应商本地库房须提供部分重要设备的备品备件，备品备件须满足下列技术要求：</w:t>
      </w:r>
    </w:p>
    <w:p>
      <w:pPr>
        <w:spacing w:line="360" w:lineRule="auto"/>
        <w:rPr>
          <w:b/>
        </w:rPr>
      </w:pPr>
      <w:r>
        <w:rPr>
          <w:rFonts w:hint="eastAsia"/>
          <w:b/>
        </w:rPr>
        <w:t>4.1服务器备品备件1</w:t>
      </w:r>
    </w:p>
    <w:p>
      <w:pPr>
        <w:spacing w:line="360" w:lineRule="auto"/>
      </w:pPr>
      <w:r>
        <w:rPr>
          <w:rFonts w:hint="eastAsia"/>
        </w:rPr>
        <w:t>4.1.</w:t>
      </w:r>
      <w:r>
        <w:t>1</w:t>
      </w:r>
      <w:r>
        <w:rPr>
          <w:rFonts w:hint="eastAsia"/>
        </w:rPr>
        <w:t xml:space="preserve">配置≥4U机架式服务器，标配导轨；                                                                                                                                                                                                                                                </w:t>
      </w:r>
      <w:r>
        <w:t xml:space="preserve">                                                                                                                                                                                                                                                                                                           </w:t>
      </w:r>
    </w:p>
    <w:p>
      <w:pPr>
        <w:spacing w:line="360" w:lineRule="auto"/>
      </w:pPr>
      <w:r>
        <w:rPr>
          <w:rFonts w:hint="eastAsia"/>
        </w:rPr>
        <w:t>4.1.</w:t>
      </w:r>
      <w:r>
        <w:t>2</w:t>
      </w:r>
      <w:r>
        <w:rPr>
          <w:rFonts w:hint="eastAsia"/>
        </w:rPr>
        <w:t>配置≥4颗Intel 6242 CPU，核心数量≥16核、主频≥2.8GHz；</w:t>
      </w:r>
    </w:p>
    <w:p>
      <w:pPr>
        <w:spacing w:line="360" w:lineRule="auto"/>
      </w:pPr>
      <w:r>
        <w:rPr>
          <w:rFonts w:hint="eastAsia"/>
        </w:rPr>
        <w:t>4.1.</w:t>
      </w:r>
      <w:r>
        <w:t>3</w:t>
      </w:r>
      <w:r>
        <w:rPr>
          <w:rFonts w:hint="eastAsia"/>
        </w:rPr>
        <w:t>配置≥256GB DDR4 2666MHz内存，≥48个内存槽位，支持Advanced ECC先进内存保护技术及联机备用模式，可配置LRDIMM和RDIMM内存；</w:t>
      </w:r>
    </w:p>
    <w:p>
      <w:pPr>
        <w:spacing w:line="360" w:lineRule="auto"/>
      </w:pPr>
      <w:r>
        <w:rPr>
          <w:rFonts w:hint="eastAsia"/>
        </w:rPr>
        <w:t>4.1.</w:t>
      </w:r>
      <w:r>
        <w:t>4</w:t>
      </w:r>
      <w:r>
        <w:rPr>
          <w:rFonts w:hint="eastAsia"/>
        </w:rPr>
        <w:t>▲配置≥2块960G SSD固态硬盘，配置≥6块1.2TB 10K SAS硬盘，支持≥48块SAS/SATA/SSD硬盘，支持≥16个NVMe SSD硬盘(提供官网链接及截图证明材料复印件)；</w:t>
      </w:r>
    </w:p>
    <w:p>
      <w:pPr>
        <w:spacing w:line="360" w:lineRule="auto"/>
      </w:pPr>
      <w:r>
        <w:rPr>
          <w:rFonts w:hint="eastAsia"/>
        </w:rPr>
        <w:t>4.1.</w:t>
      </w:r>
      <w:r>
        <w:t>5</w:t>
      </w:r>
      <w:r>
        <w:rPr>
          <w:rFonts w:hint="eastAsia"/>
        </w:rPr>
        <w:t>支持RAID0/1/10/5/50/6/60，缓存数据保护不受时间限制；</w:t>
      </w:r>
    </w:p>
    <w:p>
      <w:pPr>
        <w:spacing w:line="360" w:lineRule="auto"/>
      </w:pPr>
      <w:r>
        <w:rPr>
          <w:rFonts w:hint="eastAsia"/>
        </w:rPr>
        <w:t>4.1.</w:t>
      </w:r>
      <w:r>
        <w:t>6</w:t>
      </w:r>
      <w:r>
        <w:rPr>
          <w:rFonts w:hint="eastAsia"/>
        </w:rPr>
        <w:t>支持≥20个PCIe3.0插槽，≥2块双宽或6块单宽GPU卡(提供官网链接及截图证明材料复印件)；</w:t>
      </w:r>
    </w:p>
    <w:p>
      <w:pPr>
        <w:spacing w:line="360" w:lineRule="auto"/>
      </w:pPr>
      <w:r>
        <w:rPr>
          <w:rFonts w:hint="eastAsia"/>
        </w:rPr>
        <w:t>4.1.</w:t>
      </w:r>
      <w:r>
        <w:t>7</w:t>
      </w:r>
      <w:r>
        <w:rPr>
          <w:rFonts w:hint="eastAsia"/>
        </w:rPr>
        <w:t>配置≥4个1Gb（电）接口、配置≥2个10Gb SFP+以太网接口，配置2个原厂万兆多模光模块，支持扩展1Gb/10Gb/25Gb以太网卡、8/16/32Gb FC HBA以及100Gb IB HCA；</w:t>
      </w:r>
    </w:p>
    <w:p>
      <w:pPr>
        <w:spacing w:line="360" w:lineRule="auto"/>
      </w:pPr>
      <w:r>
        <w:rPr>
          <w:rFonts w:hint="eastAsia"/>
        </w:rPr>
        <w:t>4.1.</w:t>
      </w:r>
      <w:r>
        <w:t>8</w:t>
      </w:r>
      <w:r>
        <w:rPr>
          <w:rFonts w:hint="eastAsia"/>
        </w:rPr>
        <w:t>配置冗余风扇、配置2+2冗余热插拔电源，功率≥800W；</w:t>
      </w:r>
    </w:p>
    <w:p>
      <w:pPr>
        <w:spacing w:line="360" w:lineRule="auto"/>
      </w:pPr>
      <w:r>
        <w:rPr>
          <w:rFonts w:hint="eastAsia"/>
        </w:rPr>
        <w:t>4.1.</w:t>
      </w:r>
      <w:r>
        <w:t>9</w:t>
      </w:r>
      <w:r>
        <w:rPr>
          <w:rFonts w:hint="eastAsia"/>
        </w:rPr>
        <w:t>配置硬件故障诊断面板，可快速精确定位故障（提供诊断面板实物照片证明材料复印件）；</w:t>
      </w:r>
    </w:p>
    <w:p>
      <w:pPr>
        <w:spacing w:line="360" w:lineRule="auto"/>
      </w:pPr>
      <w:r>
        <w:rPr>
          <w:rFonts w:hint="eastAsia"/>
        </w:rPr>
        <w:t>4.1.</w:t>
      </w:r>
      <w:r>
        <w:t>10</w:t>
      </w:r>
      <w:r>
        <w:rPr>
          <w:rFonts w:hint="eastAsia"/>
        </w:rPr>
        <w:t>▲支持3D图形化的机箱内部温度拓扑图显示，精准模拟服务器内部温度(提供软件功能界面的截图证明材料复印件)；</w:t>
      </w:r>
    </w:p>
    <w:p>
      <w:pPr>
        <w:spacing w:line="360" w:lineRule="auto"/>
      </w:pPr>
      <w:r>
        <w:rPr>
          <w:rFonts w:hint="eastAsia"/>
        </w:rPr>
        <w:t>4.1.</w:t>
      </w:r>
      <w:r>
        <w:t>11</w:t>
      </w:r>
      <w:r>
        <w:rPr>
          <w:rFonts w:hint="eastAsia"/>
        </w:rPr>
        <w:t>配置千兆独立管理口；要求主板集成操作系统导航安装环境并提供虚拟KVM、日志记录、控制台录屏与回放、电源监控与动态功率封顶、操作系统崩溃前视频录制功能(提供软件功能界面的截图证明材料复印件及计算机软件著作权登记证书复印件)；</w:t>
      </w:r>
    </w:p>
    <w:p>
      <w:pPr>
        <w:spacing w:line="360" w:lineRule="auto"/>
      </w:pPr>
      <w:r>
        <w:rPr>
          <w:rFonts w:hint="eastAsia"/>
        </w:rPr>
        <w:t>4.1.</w:t>
      </w:r>
      <w:r>
        <w:t>12</w:t>
      </w:r>
      <w:r>
        <w:rPr>
          <w:rFonts w:hint="eastAsia"/>
        </w:rPr>
        <w:t>配置≥4GB Flash存储芯片，可存放日志及用户数据；</w:t>
      </w:r>
    </w:p>
    <w:p>
      <w:pPr>
        <w:spacing w:line="360" w:lineRule="auto"/>
      </w:pPr>
      <w:r>
        <w:rPr>
          <w:rFonts w:hint="eastAsia"/>
        </w:rPr>
        <w:t>4.1.</w:t>
      </w:r>
      <w:r>
        <w:t>13</w:t>
      </w:r>
      <w:r>
        <w:rPr>
          <w:rFonts w:hint="eastAsia"/>
        </w:rPr>
        <w:t>▲配置基于WEB浏览器的服务器联合管理软件，提供管理软件计算机软件著作权登记证书，可批量管理多台服务器，要求支持以下功能（包括但不限于）：</w:t>
      </w:r>
    </w:p>
    <w:p>
      <w:pPr>
        <w:spacing w:line="360" w:lineRule="auto"/>
      </w:pPr>
      <w:r>
        <w:t xml:space="preserve"> </w:t>
      </w:r>
      <w:r>
        <w:rPr>
          <w:rFonts w:hint="eastAsia"/>
        </w:rPr>
        <w:t>①批量添加服务器设备并管理每个服务器设备的内存</w:t>
      </w:r>
      <w:r>
        <w:t>/</w:t>
      </w:r>
      <w:r>
        <w:rPr>
          <w:rFonts w:hint="eastAsia"/>
        </w:rPr>
        <w:t>硬盘</w:t>
      </w:r>
      <w:r>
        <w:t>/CPU/RAID</w:t>
      </w:r>
      <w:r>
        <w:rPr>
          <w:rFonts w:hint="eastAsia"/>
        </w:rPr>
        <w:t>配置信息、</w:t>
      </w:r>
      <w:r>
        <w:t>BIOS</w:t>
      </w:r>
      <w:r>
        <w:rPr>
          <w:rFonts w:hint="eastAsia"/>
        </w:rPr>
        <w:t>固件、设备健康状态等(提供实现的操作界面截图证明材料复印件)；</w:t>
      </w:r>
    </w:p>
    <w:p>
      <w:pPr>
        <w:spacing w:line="360" w:lineRule="auto"/>
      </w:pPr>
      <w:r>
        <w:t xml:space="preserve"> </w:t>
      </w:r>
      <w:r>
        <w:rPr>
          <w:rFonts w:hint="eastAsia"/>
        </w:rPr>
        <w:t>②可远程控制被管理的多个服务器的电源、定位指示灯，支持</w:t>
      </w:r>
      <w:r>
        <w:t>DHCP</w:t>
      </w:r>
      <w:r>
        <w:rPr>
          <w:rFonts w:hint="eastAsia"/>
        </w:rPr>
        <w:t>、带内</w:t>
      </w:r>
      <w:r>
        <w:t>RAID</w:t>
      </w:r>
      <w:r>
        <w:rPr>
          <w:rFonts w:hint="eastAsia"/>
        </w:rPr>
        <w:t>配置以及针对逻辑盘、物理盘的常用操作(提供实现的操作界面截图证明材料复印件)；</w:t>
      </w:r>
    </w:p>
    <w:p>
      <w:pPr>
        <w:spacing w:line="360" w:lineRule="auto"/>
      </w:pPr>
      <w:r>
        <w:t xml:space="preserve"> </w:t>
      </w:r>
      <w:r>
        <w:rPr>
          <w:rFonts w:hint="eastAsia"/>
        </w:rPr>
        <w:t>③可实现操作系统的自动安装，支持配置待部署操作系统的用户名、密码、</w:t>
      </w:r>
      <w:r>
        <w:t>IP</w:t>
      </w:r>
      <w:r>
        <w:rPr>
          <w:rFonts w:hint="eastAsia"/>
        </w:rPr>
        <w:t>地址等(提供实现的操作界面截图证明材料复印件)。</w:t>
      </w:r>
    </w:p>
    <w:p>
      <w:pPr>
        <w:tabs>
          <w:tab w:val="left" w:pos="5753"/>
        </w:tabs>
        <w:spacing w:line="360" w:lineRule="auto"/>
      </w:pPr>
      <w:r>
        <w:rPr>
          <w:rFonts w:hint="eastAsia"/>
        </w:rPr>
        <w:t>4.1.</w:t>
      </w:r>
      <w:r>
        <w:t>14</w:t>
      </w:r>
      <w:r>
        <w:rPr>
          <w:rFonts w:hint="eastAsia"/>
        </w:rPr>
        <w:t>支持服务器安全智能模块：标准PCI-E插卡搭载独立CPU，提供攻击防护、IPS检测、通道QoS和服务器非法外联防护等功能(提供安全智能模块实物照片与功能截图证明材料复印件)。</w:t>
      </w:r>
    </w:p>
    <w:p>
      <w:pPr>
        <w:spacing w:line="360" w:lineRule="auto"/>
        <w:rPr>
          <w:b/>
        </w:rPr>
      </w:pPr>
      <w:r>
        <w:rPr>
          <w:b/>
        </w:rPr>
        <w:t>4.2</w:t>
      </w:r>
      <w:r>
        <w:rPr>
          <w:rFonts w:hint="eastAsia"/>
          <w:b/>
        </w:rPr>
        <w:t>服务器备品备件</w:t>
      </w:r>
      <w:r>
        <w:rPr>
          <w:b/>
        </w:rPr>
        <w:t>2</w:t>
      </w:r>
    </w:p>
    <w:p>
      <w:pPr>
        <w:spacing w:line="360" w:lineRule="auto"/>
      </w:pPr>
      <w:r>
        <w:rPr>
          <w:rFonts w:hint="eastAsia"/>
        </w:rPr>
        <w:t>4.</w:t>
      </w:r>
      <w:r>
        <w:t>2</w:t>
      </w:r>
      <w:r>
        <w:rPr>
          <w:rFonts w:hint="eastAsia"/>
        </w:rPr>
        <w:t>.</w:t>
      </w:r>
      <w:r>
        <w:t xml:space="preserve">1 </w:t>
      </w:r>
      <w:r>
        <w:rPr>
          <w:rFonts w:hint="eastAsia"/>
        </w:rPr>
        <w:t xml:space="preserve">配置≥2U机架式服务器，标配导轨；                                                                                                                                                                                                                                             </w:t>
      </w:r>
      <w:r>
        <w:t xml:space="preserve">                                                                                                                                                                                                                                                                                                   </w:t>
      </w:r>
    </w:p>
    <w:p>
      <w:pPr>
        <w:spacing w:line="360" w:lineRule="auto"/>
      </w:pPr>
      <w:r>
        <w:rPr>
          <w:rFonts w:hint="eastAsia"/>
        </w:rPr>
        <w:t>4.</w:t>
      </w:r>
      <w:r>
        <w:t>2</w:t>
      </w:r>
      <w:r>
        <w:rPr>
          <w:rFonts w:hint="eastAsia"/>
        </w:rPr>
        <w:t>.</w:t>
      </w:r>
      <w:r>
        <w:t>2</w:t>
      </w:r>
      <w:r>
        <w:rPr>
          <w:rFonts w:hint="eastAsia"/>
        </w:rPr>
        <w:t xml:space="preserve"> 配置≥2颗Intel® Xeon® 可扩展处理器，核心数量≥10核、主频≥2.4GHz；</w:t>
      </w:r>
    </w:p>
    <w:p>
      <w:pPr>
        <w:spacing w:line="360" w:lineRule="auto"/>
      </w:pPr>
      <w:r>
        <w:rPr>
          <w:rFonts w:hint="eastAsia"/>
        </w:rPr>
        <w:t>4.</w:t>
      </w:r>
      <w:r>
        <w:t>2</w:t>
      </w:r>
      <w:r>
        <w:rPr>
          <w:rFonts w:hint="eastAsia"/>
        </w:rPr>
        <w:t>.</w:t>
      </w:r>
      <w:r>
        <w:t>3</w:t>
      </w:r>
      <w:r>
        <w:rPr>
          <w:rFonts w:hint="eastAsia"/>
        </w:rPr>
        <w:t>配置≥64GB DDR4 2666MHz内存，≥24个内存槽位，支持Advanced ECC先进内存保护技术及联机备用模式，可配置LRDIMM和RDIMM内存；</w:t>
      </w:r>
    </w:p>
    <w:p>
      <w:pPr>
        <w:spacing w:line="360" w:lineRule="auto"/>
      </w:pPr>
      <w:r>
        <w:rPr>
          <w:rFonts w:hint="eastAsia"/>
        </w:rPr>
        <w:t>4.</w:t>
      </w:r>
      <w:r>
        <w:t>2</w:t>
      </w:r>
      <w:r>
        <w:rPr>
          <w:rFonts w:hint="eastAsia"/>
        </w:rPr>
        <w:t>.</w:t>
      </w:r>
      <w:r>
        <w:t>4</w:t>
      </w:r>
      <w:r>
        <w:rPr>
          <w:rFonts w:hint="eastAsia"/>
        </w:rPr>
        <w:t>配置≥4块1.8TB 10K SAS硬盘；最大可扩展至≥40块SAS/SATA/SSD硬盘，支持≥30个NVMe(提供官网链接及截图证明材料复印件)；</w:t>
      </w:r>
    </w:p>
    <w:p>
      <w:pPr>
        <w:spacing w:line="360" w:lineRule="auto"/>
      </w:pPr>
      <w:r>
        <w:rPr>
          <w:rFonts w:hint="eastAsia"/>
        </w:rPr>
        <w:t>4.</w:t>
      </w:r>
      <w:r>
        <w:t>2</w:t>
      </w:r>
      <w:r>
        <w:rPr>
          <w:rFonts w:hint="eastAsia"/>
        </w:rPr>
        <w:t>.</w:t>
      </w:r>
      <w:r>
        <w:t>5</w:t>
      </w:r>
      <w:r>
        <w:rPr>
          <w:rFonts w:hint="eastAsia"/>
        </w:rPr>
        <w:t xml:space="preserve"> 配置≥2GB缓存12Gbps SAS RAID 控制器，支持RAID0/1/10/5/50/6/60，缓存数据保护不受时间限制；</w:t>
      </w:r>
    </w:p>
    <w:p>
      <w:pPr>
        <w:spacing w:line="360" w:lineRule="auto"/>
      </w:pPr>
      <w:r>
        <w:rPr>
          <w:rFonts w:hint="eastAsia"/>
        </w:rPr>
        <w:t>4.</w:t>
      </w:r>
      <w:r>
        <w:t>2</w:t>
      </w:r>
      <w:r>
        <w:rPr>
          <w:rFonts w:hint="eastAsia"/>
        </w:rPr>
        <w:t>.</w:t>
      </w:r>
      <w:r>
        <w:t>6</w:t>
      </w:r>
      <w:r>
        <w:rPr>
          <w:rFonts w:hint="eastAsia"/>
        </w:rPr>
        <w:t>支持≥10个PCIe3.0插槽，≥3块双宽或8块单宽GPU卡(提供官网链接及截图证明材料复印件)；</w:t>
      </w:r>
    </w:p>
    <w:p>
      <w:pPr>
        <w:spacing w:line="360" w:lineRule="auto"/>
      </w:pPr>
      <w:r>
        <w:rPr>
          <w:rFonts w:hint="eastAsia"/>
        </w:rPr>
        <w:t>4.</w:t>
      </w:r>
      <w:r>
        <w:t>2</w:t>
      </w:r>
      <w:r>
        <w:rPr>
          <w:rFonts w:hint="eastAsia"/>
        </w:rPr>
        <w:t>.</w:t>
      </w:r>
      <w:r>
        <w:t>7</w:t>
      </w:r>
      <w:r>
        <w:rPr>
          <w:rFonts w:hint="eastAsia"/>
        </w:rPr>
        <w:t>配置≥4个1Gb（电）、≥2个10Gb SFP+以太网接口，支持扩展1Gb/10Gb/25Gb以太网卡、8/16/32Gb FC HBA以及100Gb IB HCA；</w:t>
      </w:r>
    </w:p>
    <w:p>
      <w:pPr>
        <w:spacing w:line="360" w:lineRule="auto"/>
      </w:pPr>
      <w:r>
        <w:rPr>
          <w:rFonts w:hint="eastAsia"/>
        </w:rPr>
        <w:t>4.</w:t>
      </w:r>
      <w:r>
        <w:t>2</w:t>
      </w:r>
      <w:r>
        <w:rPr>
          <w:rFonts w:hint="eastAsia"/>
        </w:rPr>
        <w:t>.</w:t>
      </w:r>
      <w:r>
        <w:t>8</w:t>
      </w:r>
      <w:r>
        <w:rPr>
          <w:rFonts w:hint="eastAsia"/>
        </w:rPr>
        <w:t>配置冗余风扇、1+1冗余热插拔电源，功率≥550W；</w:t>
      </w:r>
    </w:p>
    <w:p>
      <w:pPr>
        <w:spacing w:line="360" w:lineRule="auto"/>
      </w:pPr>
      <w:r>
        <w:rPr>
          <w:rFonts w:hint="eastAsia"/>
        </w:rPr>
        <w:t>4.</w:t>
      </w:r>
      <w:r>
        <w:t>2</w:t>
      </w:r>
      <w:r>
        <w:rPr>
          <w:rFonts w:hint="eastAsia"/>
        </w:rPr>
        <w:t>.</w:t>
      </w:r>
      <w:r>
        <w:t>9</w:t>
      </w:r>
      <w:r>
        <w:rPr>
          <w:rFonts w:hint="eastAsia"/>
        </w:rPr>
        <w:t>配置硬件故障诊断面板，可快速精确定位故障（提供诊断面板实物照片证明材料复印件）；</w:t>
      </w:r>
    </w:p>
    <w:p>
      <w:pPr>
        <w:spacing w:line="360" w:lineRule="auto"/>
      </w:pPr>
      <w:r>
        <w:rPr>
          <w:rFonts w:hint="eastAsia"/>
        </w:rPr>
        <w:t>4.</w:t>
      </w:r>
      <w:r>
        <w:t>2</w:t>
      </w:r>
      <w:r>
        <w:rPr>
          <w:rFonts w:hint="eastAsia"/>
        </w:rPr>
        <w:t>.</w:t>
      </w:r>
      <w:r>
        <w:t>10</w:t>
      </w:r>
      <w:r>
        <w:rPr>
          <w:rFonts w:hint="eastAsia"/>
        </w:rPr>
        <w:t>支持5℃～50℃工作温度可长期稳定工作，支持3D温度拓扑图显示，精准模拟服务器内部温度(提供软件功能界面的截图证明材料复印件)；</w:t>
      </w:r>
    </w:p>
    <w:p>
      <w:pPr>
        <w:spacing w:line="360" w:lineRule="auto"/>
      </w:pPr>
      <w:r>
        <w:rPr>
          <w:rFonts w:hint="eastAsia"/>
        </w:rPr>
        <w:t>4.</w:t>
      </w:r>
      <w:r>
        <w:t>2</w:t>
      </w:r>
      <w:r>
        <w:rPr>
          <w:rFonts w:hint="eastAsia"/>
        </w:rPr>
        <w:t>.</w:t>
      </w:r>
      <w:r>
        <w:t>11</w:t>
      </w:r>
      <w:r>
        <w:rPr>
          <w:rFonts w:hint="eastAsia"/>
        </w:rPr>
        <w:t>▲ 配置千兆独立管理口；要求主板集成操作系统导航安装环境并提供虚拟KVM、日志记录、控制台录屏与回放、电源监控与动态功率封顶、操作系统崩溃前视频录制功能(提供软件功能界面的截图证明材料复印件及计算机软件著作权登记证书复印件)；</w:t>
      </w:r>
    </w:p>
    <w:p>
      <w:pPr>
        <w:spacing w:line="360" w:lineRule="auto"/>
      </w:pPr>
      <w:r>
        <w:rPr>
          <w:rFonts w:hint="eastAsia"/>
        </w:rPr>
        <w:t>4.</w:t>
      </w:r>
      <w:r>
        <w:t>2</w:t>
      </w:r>
      <w:r>
        <w:rPr>
          <w:rFonts w:hint="eastAsia"/>
        </w:rPr>
        <w:t>.</w:t>
      </w:r>
      <w:r>
        <w:t>12</w:t>
      </w:r>
      <w:r>
        <w:rPr>
          <w:rFonts w:hint="eastAsia"/>
        </w:rPr>
        <w:t>配置≥4GB Flash存储芯片，可存放日志及用户数据；</w:t>
      </w:r>
    </w:p>
    <w:p>
      <w:pPr>
        <w:spacing w:line="360" w:lineRule="auto"/>
      </w:pPr>
      <w:r>
        <w:rPr>
          <w:rFonts w:hint="eastAsia"/>
        </w:rPr>
        <w:t>4.</w:t>
      </w:r>
      <w:r>
        <w:t>2</w:t>
      </w:r>
      <w:r>
        <w:rPr>
          <w:rFonts w:hint="eastAsia"/>
        </w:rPr>
        <w:t>.</w:t>
      </w:r>
      <w:r>
        <w:t>13</w:t>
      </w:r>
      <w:r>
        <w:rPr>
          <w:rFonts w:hint="eastAsia"/>
        </w:rPr>
        <w:t>配置基于WEB浏览器的服务器联合管理软件；</w:t>
      </w:r>
    </w:p>
    <w:p>
      <w:pPr>
        <w:spacing w:line="360" w:lineRule="auto"/>
      </w:pPr>
      <w:r>
        <w:rPr>
          <w:rFonts w:hint="eastAsia"/>
        </w:rPr>
        <w:t>4.</w:t>
      </w:r>
      <w:r>
        <w:t>2</w:t>
      </w:r>
      <w:r>
        <w:rPr>
          <w:rFonts w:hint="eastAsia"/>
        </w:rPr>
        <w:t>.</w:t>
      </w:r>
      <w:r>
        <w:t>14</w:t>
      </w:r>
      <w:r>
        <w:rPr>
          <w:rFonts w:hint="eastAsia"/>
        </w:rPr>
        <w:t>▲支持批量添加服务器设备并管理每个服务器设备的内存/硬盘/CPU/RAID配置信息、BIOS固件、设备健康状态等(提供实现的操作界面截图证明材料复印件)；</w:t>
      </w:r>
    </w:p>
    <w:p>
      <w:pPr>
        <w:spacing w:line="360" w:lineRule="auto"/>
      </w:pPr>
      <w:r>
        <w:rPr>
          <w:rFonts w:hint="eastAsia"/>
        </w:rPr>
        <w:t>4.</w:t>
      </w:r>
      <w:r>
        <w:t>2</w:t>
      </w:r>
      <w:r>
        <w:rPr>
          <w:rFonts w:hint="eastAsia"/>
        </w:rPr>
        <w:t>.</w:t>
      </w:r>
      <w:r>
        <w:t>15</w:t>
      </w:r>
      <w:r>
        <w:rPr>
          <w:rFonts w:hint="eastAsia"/>
        </w:rPr>
        <w:t>▲支持可实现操作系统的自动安装，支持配置待部署操作系统的用户名、密码、IP地址等(提供实现的操作界面截图证明材料复印件)；</w:t>
      </w:r>
    </w:p>
    <w:p>
      <w:pPr>
        <w:spacing w:line="360" w:lineRule="auto"/>
      </w:pPr>
      <w:r>
        <w:rPr>
          <w:rFonts w:hint="eastAsia"/>
        </w:rPr>
        <w:t>4.</w:t>
      </w:r>
      <w:r>
        <w:t>2</w:t>
      </w:r>
      <w:r>
        <w:rPr>
          <w:rFonts w:hint="eastAsia"/>
        </w:rPr>
        <w:t>.</w:t>
      </w:r>
      <w:r>
        <w:t>16</w:t>
      </w:r>
      <w:r>
        <w:rPr>
          <w:rFonts w:hint="eastAsia"/>
        </w:rPr>
        <w:t>支持服务器安全智能模块：标准PCI-E插卡搭载独立CPU，提供攻击防护、IPS检测、通道QoS和服务器非法外联防护等功能(提供安全智能模块实物照片与功能截图证明材料复印件)；</w:t>
      </w:r>
    </w:p>
    <w:p>
      <w:pPr>
        <w:spacing w:line="360" w:lineRule="auto"/>
        <w:rPr>
          <w:rFonts w:hint="eastAsia"/>
        </w:rPr>
      </w:pPr>
      <w:r>
        <w:rPr>
          <w:rFonts w:hint="eastAsia"/>
        </w:rPr>
        <w:t>4</w:t>
      </w:r>
      <w:r>
        <w:t>.2.17</w:t>
      </w:r>
      <w:r>
        <w:rPr>
          <w:rFonts w:hint="eastAsia"/>
        </w:rPr>
        <w:t>支持可远程控制被管理的多个服务器的电源、定位指示灯，支持</w:t>
      </w:r>
      <w:r>
        <w:t>DHCP、带内RAID配置以及的常用操作</w:t>
      </w:r>
      <w:r>
        <w:rPr>
          <w:rFonts w:hint="eastAsia"/>
        </w:rPr>
        <w:t>(提供实现的操作界面截图证明材料复印件)。</w:t>
      </w:r>
    </w:p>
    <w:p>
      <w:pPr>
        <w:widowControl/>
        <w:jc w:val="left"/>
      </w:pPr>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87297"/>
    <w:multiLevelType w:val="multilevel"/>
    <w:tmpl w:val="0EA87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701993"/>
    <w:multiLevelType w:val="multilevel"/>
    <w:tmpl w:val="2870199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60770B3"/>
    <w:multiLevelType w:val="multilevel"/>
    <w:tmpl w:val="360770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5F7F14"/>
    <w:multiLevelType w:val="multilevel"/>
    <w:tmpl w:val="515F7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C15D9"/>
    <w:rsid w:val="226C15D9"/>
    <w:rsid w:val="5009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paragraph" w:styleId="2">
    <w:name w:val="heading 1"/>
    <w:basedOn w:val="1"/>
    <w:next w:val="1"/>
    <w:qFormat/>
    <w:uiPriority w:val="9"/>
    <w:pPr>
      <w:keepNext/>
      <w:keepLines/>
      <w:outlineLvl w:val="0"/>
    </w:pPr>
    <w:rPr>
      <w:b/>
      <w:bCs/>
      <w:kern w:val="44"/>
      <w:sz w:val="28"/>
      <w:szCs w:val="2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kern w:val="0"/>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2021-07-14T04:48:00Z</dcterms:created>
  <dc:creator>余伟</dc:creator>
  <cp:lastModifiedBy>余伟</cp:lastModifiedBy>
  <dcterms:modified xsi:type="dcterms:W3CDTF">2021-07-14T04:56:19Z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80E33AB3A553467285694061235BE45A</vt:lpwstr>
  </property>
</Properties>
</file>