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/>
          <w:sz w:val="28"/>
          <w:szCs w:val="36"/>
        </w:rPr>
        <w:tab/>
      </w:r>
      <w:r>
        <w:rPr>
          <w:rFonts w:hint="eastAsia" w:ascii="宋体" w:hAnsi="宋体" w:eastAsia="宋体" w:cs="宋体"/>
          <w:b/>
          <w:bCs/>
          <w:sz w:val="36"/>
          <w:szCs w:val="36"/>
        </w:rPr>
        <w:t>成都市公共卫生临床医疗中心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科教信息管理平台</w:t>
      </w:r>
    </w:p>
    <w:p>
      <w:pPr>
        <w:pStyle w:val="2"/>
      </w:pPr>
    </w:p>
    <w:p>
      <w:pPr>
        <w:spacing w:line="360" w:lineRule="auto"/>
        <w:rPr>
          <w:rFonts w:ascii="宋体" w:hAnsi="宋体" w:eastAsia="宋体" w:cs="宋体"/>
          <w:b/>
          <w:bCs/>
          <w:sz w:val="32"/>
          <w:szCs w:val="32"/>
        </w:rPr>
      </w:pPr>
      <w:bookmarkStart w:id="0" w:name="_Toc6005846"/>
      <w:bookmarkStart w:id="1" w:name="_Toc22660227"/>
      <w:r>
        <w:rPr>
          <w:rFonts w:hint="eastAsia" w:ascii="宋体" w:hAnsi="宋体" w:eastAsia="宋体" w:cs="宋体"/>
          <w:b/>
          <w:bCs/>
          <w:sz w:val="32"/>
          <w:szCs w:val="32"/>
        </w:rPr>
        <w:t>一、技术要求</w:t>
      </w:r>
      <w:bookmarkEnd w:id="0"/>
      <w:bookmarkEnd w:id="1"/>
      <w:bookmarkStart w:id="3" w:name="_GoBack"/>
    </w:p>
    <w:bookmarkEnd w:id="3"/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1.系统需要符合国家及卫健委颁发的各类标准，符合医院信息化建设标准与规范，符合医院信息化建设应用技术指引。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2.系统与数据库部署支持运行于windows等高安全性操作系统，系统无安全漏洞。数据安全性方面，数据访问应有严格的权限限制，重要数据的存储和传输应进行加密处理，支持SSL/TLS加密传输。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3.软件必须遵循主流的技术路线，系统架构开放，采用多层分离结构基础上的Browser/Server模式，支持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微软、</w:t>
      </w:r>
      <w:r>
        <w:rPr>
          <w:rFonts w:hint="eastAsia" w:ascii="宋体" w:hAnsi="宋体" w:eastAsia="宋体" w:cs="宋体"/>
          <w:sz w:val="28"/>
          <w:szCs w:val="28"/>
        </w:rPr>
        <w:t>谷歌、360等主流浏览器。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4.系统设计必须是构件化、面向对象的，做到灵活性好、可维护性高。可以保证大并发情况下的快速响应。系统支持水平和垂直的扩展，以保证将来系统的升级和扩充。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5.使用符合BPMN2.0规范的工作流引擎，支持流程自定义，确保工作流程的灵活性、易扩展性。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6.采用关系型数据库，有利于数据检索和信息关联。如：SQLServer、Mysql、Oracle等；支持服务器集群部署和负载均衡。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7.系统提供严格的权限管理（包括功能权限管理和数据访问权限管理），不得出现非授权的访问，并可通过简单的配置实现权限划分的调整。系统提供完善的审计功能及完整的审计日志，实现操作的追溯。</w:t>
      </w:r>
      <w:bookmarkStart w:id="2" w:name="_Toc22660228"/>
    </w:p>
    <w:p>
      <w:pPr>
        <w:spacing w:line="360" w:lineRule="auto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</w:t>
      </w:r>
      <w:bookmarkEnd w:id="2"/>
      <w:r>
        <w:rPr>
          <w:rFonts w:hint="eastAsia" w:ascii="宋体" w:hAnsi="宋体" w:eastAsia="宋体" w:cs="宋体"/>
          <w:b/>
          <w:bCs/>
          <w:sz w:val="32"/>
          <w:szCs w:val="32"/>
        </w:rPr>
        <w:t>、功能模块要求</w:t>
      </w:r>
    </w:p>
    <w:tbl>
      <w:tblPr>
        <w:tblStyle w:val="10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2258"/>
        <w:gridCol w:w="6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主要模块</w:t>
            </w:r>
          </w:p>
        </w:tc>
        <w:tc>
          <w:tcPr>
            <w:tcW w:w="631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包含描述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科研门户管理</w:t>
            </w:r>
          </w:p>
        </w:tc>
        <w:tc>
          <w:tcPr>
            <w:tcW w:w="631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发布科研最新研究动态信息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科研相关的规章制度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科研流程介绍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科技文件公布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课题申报信息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查询医院科研资源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横向项目管理</w:t>
            </w:r>
          </w:p>
        </w:tc>
        <w:tc>
          <w:tcPr>
            <w:tcW w:w="6319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伦理审批、课题立项、课题成员管理、课题中期管理、课题延期管理、课题结题管理、课题文件上传、课题经费管理等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纵向项目管理</w:t>
            </w:r>
          </w:p>
        </w:tc>
        <w:tc>
          <w:tcPr>
            <w:tcW w:w="631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1、立项管理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a.支持科研人员在线填报和修改合同基本信息，包括项目申报信息的填写、修改、删除和提交，项目申报信息包括但不限于项目基本信息、参与的科研团队信息、合作单位信息、经费预算信息等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b.支持科研管理者对合同进行审核管理，并传达审核结果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c.自动记录审核过程的完整日志，以供查询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d.支持合同附件上传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e.支持合同查询。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2、立项审核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a.支持项目申报审核管理。审核人能按照可从项目级别、申请人所属科室、上报时间等条件对新项目进行查询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b.支持医院的科研管理部门对各类项目申请进行审核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c.对项目申报过程中的各类审核信息自动进行记录，审核人和该项目的上报人能随时查看项目的历史审核建议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d.支持立项成功后，对项目进行查询和统计，及导入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e.支持对各类项目的异常结果通报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3、过程管理：项目进行期间，记录所有与项目相关的文档，包括不限于年度报告等，形成项目文档库，支持上传、下载、查询等操作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4、项目变更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a.支持科研人员在线填报和修改项目变更申请，变更内容包含但不仅限于项目预算调整、预算追加、人员变更、项目延期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b.支持科研管理者对项目变更申请进行审核，并传达审核结果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c.能够自动记录所有项目变更申请记录，包括通过申请与未通过申请的记录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5、项目结题: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a.结题预警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b.支持结题报告在线填报和修改，支持结题报告附件在线上传和提交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c.支持医院的科研管理者对结题报告进行审核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d.支持医院的科研管理者对项目结题的异常结果进行通报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6、其它功能:项目附件（含立项备案表、合同、保密协议、伦理批件、遗传办批件、结题报告等）上传、课题经费到账管理。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自主课题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管理</w:t>
            </w:r>
          </w:p>
        </w:tc>
        <w:tc>
          <w:tcPr>
            <w:tcW w:w="631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实现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自主课题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项目的申报、立项、在研、结项的全生命周期过程管理。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lang w:val="en-US" w:eastAsia="zh-CN" w:bidi="ar-SA"/>
              </w:rPr>
              <w:t>课题组项目成员的成果管理和统计；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系统支持项目信息excel格式导入导出。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院内项目管理</w:t>
            </w:r>
          </w:p>
        </w:tc>
        <w:tc>
          <w:tcPr>
            <w:tcW w:w="631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课题申报、专家指派、专家评审、课题审批、伦理审批、课题立项、课题成员管理、课题中期管理、课题延期管理、课题结题管理、课题文件上传、课题经费管理等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创新团队管理</w:t>
            </w:r>
          </w:p>
        </w:tc>
        <w:tc>
          <w:tcPr>
            <w:tcW w:w="631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支持对院内创新团队带头人、团队成员、团队研究课题管理，实现创新团队的成果产出统计与考核。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人类遗传资源</w:t>
            </w:r>
          </w:p>
        </w:tc>
        <w:tc>
          <w:tcPr>
            <w:tcW w:w="631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实现对药物临床试验、干细胞、其他涉及人的临床研究项目人类遗传资源过程管理与统计分析。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伦理审查</w:t>
            </w:r>
          </w:p>
        </w:tc>
        <w:tc>
          <w:tcPr>
            <w:tcW w:w="6319" w:type="dxa"/>
            <w:vAlign w:val="center"/>
          </w:tcPr>
          <w:p>
            <w:pPr>
              <w:pStyle w:val="8"/>
              <w:widowControl/>
              <w:spacing w:line="360" w:lineRule="auto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1、伦理申请:支持科研人员和科研管理人员发起药物、干细胞以及其他涉及人的，动物伦理申请，并上传研究方案、知情同意书、主要研究者简历等相关附件。</w:t>
            </w:r>
          </w:p>
          <w:p>
            <w:pPr>
              <w:pStyle w:val="8"/>
              <w:widowControl/>
              <w:spacing w:line="360" w:lineRule="auto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2、伦理预审:支持科研管理人员将项目分配到相关专家，专家能查阅科研人员上传的各个材料，并填写审查意见。</w:t>
            </w:r>
          </w:p>
          <w:p>
            <w:pPr>
              <w:pStyle w:val="8"/>
              <w:widowControl/>
              <w:spacing w:line="360" w:lineRule="auto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3、伦理审查:支持根据科研人员上传的材料和专家审查意见，抓取数据生成伦理批件。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科研队伍管理</w:t>
            </w:r>
          </w:p>
        </w:tc>
        <w:tc>
          <w:tcPr>
            <w:tcW w:w="6319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包含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院内人才梯队管理、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科研人员基本信息的管理、院内专家库的管理、院内科研人员学协会任职的信息管理、院内组织机构信息管理以及研究机构等科研平台的管理，使与本院的科研管理信息进行资源共享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2、实现院内科研人员基础信息（毕业院校、职称、专业等）的批量导入。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专家库管理</w:t>
            </w:r>
          </w:p>
        </w:tc>
        <w:tc>
          <w:tcPr>
            <w:tcW w:w="631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专家库是对各类科研专家的管理，提供专家信息查询的功能，并对专家的信息进行维护，包括院内和院外专家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2、由于院内专家不能任职超过3个，系统支持查询专家的任职详情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专家评审</w:t>
            </w:r>
          </w:p>
        </w:tc>
        <w:tc>
          <w:tcPr>
            <w:tcW w:w="6319" w:type="dxa"/>
            <w:vAlign w:val="center"/>
          </w:tcPr>
          <w:p>
            <w:pPr>
              <w:pStyle w:val="8"/>
              <w:widowControl/>
              <w:numPr>
                <w:ilvl w:val="0"/>
                <w:numId w:val="3"/>
              </w:numPr>
              <w:spacing w:line="360" w:lineRule="auto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系统支持专家在线评审，可自定义评审流程并设置专家评审环节。</w:t>
            </w:r>
          </w:p>
          <w:p>
            <w:pPr>
              <w:pStyle w:val="8"/>
              <w:widowControl/>
              <w:numPr>
                <w:ilvl w:val="0"/>
                <w:numId w:val="3"/>
              </w:numPr>
              <w:spacing w:line="360" w:lineRule="auto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专家评审可自定义打分表，为不同项目选择不同打分表。</w:t>
            </w:r>
          </w:p>
          <w:p>
            <w:pPr>
              <w:pStyle w:val="8"/>
              <w:widowControl/>
              <w:numPr>
                <w:ilvl w:val="0"/>
                <w:numId w:val="3"/>
              </w:numPr>
              <w:spacing w:line="360" w:lineRule="auto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专家在线查看评审内容并进行评审。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科研经费管理</w:t>
            </w:r>
          </w:p>
        </w:tc>
        <w:tc>
          <w:tcPr>
            <w:tcW w:w="6319" w:type="dxa"/>
            <w:vAlign w:val="center"/>
          </w:tcPr>
          <w:p>
            <w:pPr>
              <w:pStyle w:val="8"/>
              <w:widowControl/>
              <w:numPr>
                <w:ilvl w:val="0"/>
                <w:numId w:val="4"/>
              </w:num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实现经费预算的调整及审核。</w:t>
            </w:r>
          </w:p>
          <w:p>
            <w:pPr>
              <w:pStyle w:val="8"/>
              <w:widowControl/>
              <w:numPr>
                <w:ilvl w:val="0"/>
                <w:numId w:val="4"/>
              </w:num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实现经费到账的登记管理功能；可以实现科研经费支出的报销管理。</w:t>
            </w:r>
          </w:p>
          <w:p>
            <w:pPr>
              <w:pStyle w:val="8"/>
              <w:widowControl/>
              <w:spacing w:line="360" w:lineRule="auto"/>
              <w:ind w:firstLine="0" w:firstLineChars="0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3、实现项目经费统计功能，可以查询项目的预算到账、支出、结余等。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科研成果管理</w:t>
            </w:r>
          </w:p>
        </w:tc>
        <w:tc>
          <w:tcPr>
            <w:tcW w:w="6319" w:type="dxa"/>
            <w:vAlign w:val="center"/>
          </w:tcPr>
          <w:p>
            <w:pPr>
              <w:pStyle w:val="8"/>
              <w:widowControl/>
              <w:spacing w:line="360" w:lineRule="auto"/>
              <w:ind w:firstLine="0" w:firstLineChars="0"/>
              <w:rPr>
                <w:rFonts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1、实现论文投稿、专利申请、专著申请及审批过程管理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。</w:t>
            </w:r>
          </w:p>
          <w:p>
            <w:pPr>
              <w:pStyle w:val="8"/>
              <w:widowControl/>
              <w:spacing w:line="360" w:lineRule="auto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2、实现论文版面费报销审批功能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。</w:t>
            </w:r>
          </w:p>
          <w:p>
            <w:pPr>
              <w:pStyle w:val="8"/>
              <w:widowControl/>
              <w:spacing w:line="360" w:lineRule="auto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3、实现科研人员对论文、著作、成果获奖、专利、共识标准、成果转化等成果信息进行录入并根据自定义审核流程进行审核。</w:t>
            </w:r>
          </w:p>
          <w:p>
            <w:pPr>
              <w:pStyle w:val="8"/>
              <w:widowControl/>
              <w:spacing w:line="360" w:lineRule="auto"/>
              <w:ind w:firstLine="0" w:firstLineChars="0"/>
              <w:rPr>
                <w:rFonts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4、系统支持期刊库自定义管理及维护，期刊库中的期刊数据，会自动带入论文管理中。</w:t>
            </w:r>
          </w:p>
          <w:p>
            <w:pPr>
              <w:pStyle w:val="8"/>
              <w:widowControl/>
              <w:spacing w:line="360" w:lineRule="auto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5、科研成果可以关联项目。</w:t>
            </w:r>
          </w:p>
          <w:p>
            <w:pPr>
              <w:pStyle w:val="8"/>
              <w:widowControl/>
              <w:spacing w:line="360" w:lineRule="auto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6、系统支持成果导入、导出及查询。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科技成果转化</w:t>
            </w:r>
          </w:p>
        </w:tc>
        <w:tc>
          <w:tcPr>
            <w:tcW w:w="6319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实现对各类科技成果转化的管理与统计分析。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科研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奖励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管理</w:t>
            </w:r>
          </w:p>
        </w:tc>
        <w:tc>
          <w:tcPr>
            <w:tcW w:w="631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实现对国家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下拨经费和院内奖励经费的管理与统计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学术影响力</w:t>
            </w:r>
          </w:p>
        </w:tc>
        <w:tc>
          <w:tcPr>
            <w:tcW w:w="631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实现对医院学术影响力活动的管理，包括会议、学术任职、期刊任职、中心及国内外合作、来院进修等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可通过科室或科研人员进行统计查询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文献管理</w:t>
            </w:r>
          </w:p>
        </w:tc>
        <w:tc>
          <w:tcPr>
            <w:tcW w:w="631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SCI文献登记、SCI影响因子、中科院分区、文献引用；统计源文献登记、影响因子、引用次数等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统计分析</w:t>
            </w:r>
          </w:p>
        </w:tc>
        <w:tc>
          <w:tcPr>
            <w:tcW w:w="6319" w:type="dxa"/>
            <w:vAlign w:val="center"/>
          </w:tcPr>
          <w:p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支持按科室人员、科室及起止时间等检索方式检索，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完成项目的统计查询、成果的统计查询以及科研人员的年龄学历等分析表。</w:t>
            </w:r>
          </w:p>
          <w:p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统计可以实现报表及图形统计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支持多种数据展示组件：树状列表、表格、柱状、折线、饼图等。</w:t>
            </w:r>
          </w:p>
          <w:p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支持自定义统计模块，可根据用户需求自由配置展示报表。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重点学科</w:t>
            </w:r>
          </w:p>
        </w:tc>
        <w:tc>
          <w:tcPr>
            <w:tcW w:w="6319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包括重点(专)学科立项申请、立项审批、经费预算、经费到账、支出控制、人才资质统计、人才梯队统计分析、学科人才满足率分析、学科成果统计与分析、评估结果上报、评审申请、评审结果、验收申请、验收结果、归档提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科研诚信管理</w:t>
            </w:r>
          </w:p>
        </w:tc>
        <w:tc>
          <w:tcPr>
            <w:tcW w:w="631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包括诚信举报、个人诚信档案管理、单位（部门）诚信管理、专家诚信管理、诚信公示等管理内容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科研队伍的考核</w:t>
            </w:r>
          </w:p>
        </w:tc>
        <w:tc>
          <w:tcPr>
            <w:tcW w:w="6319" w:type="dxa"/>
            <w:vAlign w:val="center"/>
          </w:tcPr>
          <w:p>
            <w:pPr>
              <w:numPr>
                <w:ilvl w:val="0"/>
                <w:numId w:val="6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制定科室、学科、个人的考核要求和标准，以及实现定期的评价；</w:t>
            </w:r>
          </w:p>
          <w:p>
            <w:pPr>
              <w:numPr>
                <w:ilvl w:val="0"/>
                <w:numId w:val="6"/>
              </w:num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根据医院考核奖励办法，定制考核奖励模型，实现考核奖励分值的自动核算。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系统管理</w:t>
            </w:r>
          </w:p>
        </w:tc>
        <w:tc>
          <w:tcPr>
            <w:tcW w:w="6319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包括组织机构、人员、数据参数、角色权限管理、系统日志（记录用户的详细操作），角色权限自定义。</w:t>
            </w:r>
          </w:p>
          <w:p>
            <w:pPr>
              <w:numPr>
                <w:ilvl w:val="0"/>
                <w:numId w:val="7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支持自定义快捷菜单链接，用户可自定义常用菜单列表。</w:t>
            </w:r>
          </w:p>
          <w:p>
            <w:pPr>
              <w:numPr>
                <w:ilvl w:val="0"/>
                <w:numId w:val="7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支持自由切换角色，如填报人角色下执行填报人操作，审核人角色下执行审核人操作。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支持通知公告管理和公共资料上传下载。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系统维护自定义</w:t>
            </w:r>
          </w:p>
        </w:tc>
        <w:tc>
          <w:tcPr>
            <w:tcW w:w="6319" w:type="dxa"/>
            <w:vAlign w:val="center"/>
          </w:tcPr>
          <w:p>
            <w:pPr>
              <w:pStyle w:val="8"/>
              <w:widowControl/>
              <w:spacing w:line="360" w:lineRule="auto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统支持多种指标的自定义，包括但不限于：菜单的自定义配置左侧菜单，支持二级目录、系统搜索条件的自定义设置、系统列表及录入内容的自定义设置、excel导入导出的自定义设置、系统所有流程的自定义、科研人员科研履历内容的自定义、数据及图形报表的自定义、配置流程及表单配置的自定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学生管理</w:t>
            </w:r>
          </w:p>
        </w:tc>
        <w:tc>
          <w:tcPr>
            <w:tcW w:w="6319" w:type="dxa"/>
            <w:vAlign w:val="center"/>
          </w:tcPr>
          <w:p>
            <w:pPr>
              <w:numPr>
                <w:ilvl w:val="0"/>
                <w:numId w:val="8"/>
              </w:numPr>
              <w:spacing w:line="360" w:lineRule="auto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支持多类型学生信息管理，主要实现对各类型学生个人基本信息及培训信息进行增、删、改、查的常规管理。</w:t>
            </w:r>
          </w:p>
          <w:p>
            <w:pPr>
              <w:numPr>
                <w:ilvl w:val="0"/>
                <w:numId w:val="8"/>
              </w:num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对学生的考勤、培训完成情况、学生入科教育、出科考核等进行全过程管理、审核及统计查询。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教师管理</w:t>
            </w:r>
          </w:p>
        </w:tc>
        <w:tc>
          <w:tcPr>
            <w:tcW w:w="6319" w:type="dxa"/>
            <w:vAlign w:val="center"/>
          </w:tcPr>
          <w:p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包括教师信息的添加、修改、删除、查询等。</w:t>
            </w:r>
          </w:p>
          <w:p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立统一的教师基本信息，包括教师年龄、性别、职称、师资参加教学培训情况、师资聘任情况、职称及职称聘任时间、联系方式、师资类型、教学绩效收入情况，教学工作量（理论授课、临床带教等）等进行统计和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导师库管理</w:t>
            </w:r>
          </w:p>
        </w:tc>
        <w:tc>
          <w:tcPr>
            <w:tcW w:w="6319" w:type="dxa"/>
            <w:vAlign w:val="center"/>
          </w:tcPr>
          <w:p>
            <w:pPr>
              <w:numPr>
                <w:ilvl w:val="0"/>
                <w:numId w:val="10"/>
              </w:num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支持建立统一的导师基本信息，学生匹配情况，学生沟通指导情况等。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2、支持把导师与学生进行关联。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轮转管理</w:t>
            </w:r>
          </w:p>
        </w:tc>
        <w:tc>
          <w:tcPr>
            <w:tcW w:w="6319" w:type="dxa"/>
            <w:vAlign w:val="center"/>
          </w:tcPr>
          <w:p>
            <w:pPr>
              <w:numPr>
                <w:ilvl w:val="0"/>
                <w:numId w:val="11"/>
              </w:num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支持对学生进行轮转、排课等管理，通过系统导入学生基础信息，实现系统轮转及轮转排课确认。</w:t>
            </w:r>
          </w:p>
          <w:p>
            <w:pPr>
              <w:numPr>
                <w:ilvl w:val="0"/>
                <w:numId w:val="11"/>
              </w:num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支持查询和监管学员轮转学习情况，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支持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系统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Excel导入导出。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教学经费管理</w:t>
            </w:r>
          </w:p>
        </w:tc>
        <w:tc>
          <w:tcPr>
            <w:tcW w:w="6319" w:type="dxa"/>
            <w:vAlign w:val="center"/>
          </w:tcPr>
          <w:p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实现经费预算的调整及审核。</w:t>
            </w:r>
          </w:p>
          <w:p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实现经费到账的登记管理功能。</w:t>
            </w:r>
          </w:p>
          <w:p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实现教学经费支出的报销流程。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实现项目经费统计功能，实现查询项目的预算、到账、支出、结余等。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教学质量管理</w:t>
            </w:r>
          </w:p>
        </w:tc>
        <w:tc>
          <w:tcPr>
            <w:tcW w:w="6319" w:type="dxa"/>
            <w:vAlign w:val="center"/>
          </w:tcPr>
          <w:p>
            <w:pPr>
              <w:numPr>
                <w:ilvl w:val="0"/>
                <w:numId w:val="13"/>
              </w:num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支持学生对带教老师进行线上评价。</w:t>
            </w:r>
          </w:p>
          <w:p>
            <w:pPr>
              <w:numPr>
                <w:ilvl w:val="0"/>
                <w:numId w:val="13"/>
              </w:num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支持科室对带教老师的教学工作量完成情况进行评价。</w:t>
            </w:r>
          </w:p>
          <w:p>
            <w:pPr>
              <w:numPr>
                <w:ilvl w:val="0"/>
                <w:numId w:val="13"/>
              </w:num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支持教学负责人对评价结果进行汇总并审核。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继续教育培训班管理</w:t>
            </w:r>
          </w:p>
        </w:tc>
        <w:tc>
          <w:tcPr>
            <w:tcW w:w="631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支持继教项目负责人及授课师资上报授课情况，支持将授课通知（授课日程安排）作为支撑材料上传。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学术任职管理</w:t>
            </w:r>
          </w:p>
        </w:tc>
        <w:tc>
          <w:tcPr>
            <w:tcW w:w="6319" w:type="dxa"/>
            <w:vAlign w:val="center"/>
          </w:tcPr>
          <w:p>
            <w:pPr>
              <w:numPr>
                <w:ilvl w:val="0"/>
                <w:numId w:val="14"/>
              </w:num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支持职工将学术任职情况（包括学术组织名称、专委会名称、任职级别等）自行上报；</w:t>
            </w:r>
          </w:p>
          <w:p>
            <w:pPr>
              <w:numPr>
                <w:ilvl w:val="0"/>
                <w:numId w:val="14"/>
              </w:num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支持上传任职聘书等相关任职资料。</w:t>
            </w:r>
          </w:p>
        </w:tc>
      </w:tr>
    </w:tbl>
    <w:p>
      <w:pPr>
        <w:tabs>
          <w:tab w:val="left" w:pos="2294"/>
        </w:tabs>
        <w:spacing w:line="360" w:lineRule="auto"/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371061"/>
    <w:multiLevelType w:val="singleLevel"/>
    <w:tmpl w:val="8237106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E4F161B"/>
    <w:multiLevelType w:val="singleLevel"/>
    <w:tmpl w:val="8E4F161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21B3F9B"/>
    <w:multiLevelType w:val="singleLevel"/>
    <w:tmpl w:val="921B3F9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93A8907A"/>
    <w:multiLevelType w:val="singleLevel"/>
    <w:tmpl w:val="93A8907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A768F5D7"/>
    <w:multiLevelType w:val="singleLevel"/>
    <w:tmpl w:val="A768F5D7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6BB212E"/>
    <w:multiLevelType w:val="singleLevel"/>
    <w:tmpl w:val="F6BB212E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1DEA432E"/>
    <w:multiLevelType w:val="singleLevel"/>
    <w:tmpl w:val="1DEA432E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21B89ED8"/>
    <w:multiLevelType w:val="singleLevel"/>
    <w:tmpl w:val="21B89ED8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2A5D87EB"/>
    <w:multiLevelType w:val="singleLevel"/>
    <w:tmpl w:val="2A5D87EB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3EB99BFE"/>
    <w:multiLevelType w:val="singleLevel"/>
    <w:tmpl w:val="3EB99BFE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3F484330"/>
    <w:multiLevelType w:val="singleLevel"/>
    <w:tmpl w:val="3F484330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4D97D622"/>
    <w:multiLevelType w:val="singleLevel"/>
    <w:tmpl w:val="4D97D622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75344FEE"/>
    <w:multiLevelType w:val="singleLevel"/>
    <w:tmpl w:val="75344FEE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7AA7B563"/>
    <w:multiLevelType w:val="singleLevel"/>
    <w:tmpl w:val="7AA7B56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"/>
  </w:num>
  <w:num w:numId="5">
    <w:abstractNumId w:val="5"/>
  </w:num>
  <w:num w:numId="6">
    <w:abstractNumId w:val="11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  <w:num w:numId="11">
    <w:abstractNumId w:val="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F6C6A"/>
    <w:rsid w:val="000638ED"/>
    <w:rsid w:val="00C53C5C"/>
    <w:rsid w:val="00D33D3C"/>
    <w:rsid w:val="01232D8A"/>
    <w:rsid w:val="01B64B6C"/>
    <w:rsid w:val="01E573E8"/>
    <w:rsid w:val="02D9694C"/>
    <w:rsid w:val="03CF706F"/>
    <w:rsid w:val="05472148"/>
    <w:rsid w:val="063410E2"/>
    <w:rsid w:val="07586C7C"/>
    <w:rsid w:val="08255FD6"/>
    <w:rsid w:val="082E5F9C"/>
    <w:rsid w:val="0955111F"/>
    <w:rsid w:val="096A2F80"/>
    <w:rsid w:val="09F86D6D"/>
    <w:rsid w:val="0BFC19EE"/>
    <w:rsid w:val="0C7856D8"/>
    <w:rsid w:val="0C962119"/>
    <w:rsid w:val="0D3D3443"/>
    <w:rsid w:val="0D793176"/>
    <w:rsid w:val="0EB26AB7"/>
    <w:rsid w:val="0EDA029D"/>
    <w:rsid w:val="0F1B2752"/>
    <w:rsid w:val="0F350C58"/>
    <w:rsid w:val="12795545"/>
    <w:rsid w:val="152F741A"/>
    <w:rsid w:val="18135592"/>
    <w:rsid w:val="18DD76C0"/>
    <w:rsid w:val="190F527E"/>
    <w:rsid w:val="19FC1206"/>
    <w:rsid w:val="1A64551B"/>
    <w:rsid w:val="1B18237F"/>
    <w:rsid w:val="1CCE6E07"/>
    <w:rsid w:val="1DB606BC"/>
    <w:rsid w:val="1EF36CB6"/>
    <w:rsid w:val="1F5B27B7"/>
    <w:rsid w:val="201068AD"/>
    <w:rsid w:val="20630AA2"/>
    <w:rsid w:val="208A71CE"/>
    <w:rsid w:val="21E15DE4"/>
    <w:rsid w:val="22785865"/>
    <w:rsid w:val="22E92BDF"/>
    <w:rsid w:val="22EA0C06"/>
    <w:rsid w:val="23896B18"/>
    <w:rsid w:val="24550178"/>
    <w:rsid w:val="245F2EC4"/>
    <w:rsid w:val="25365021"/>
    <w:rsid w:val="25A22820"/>
    <w:rsid w:val="27834B9A"/>
    <w:rsid w:val="292C42ED"/>
    <w:rsid w:val="2DE21965"/>
    <w:rsid w:val="303F6C6A"/>
    <w:rsid w:val="30D15B93"/>
    <w:rsid w:val="3128030F"/>
    <w:rsid w:val="31417525"/>
    <w:rsid w:val="322A2D7E"/>
    <w:rsid w:val="32960BFB"/>
    <w:rsid w:val="340004EE"/>
    <w:rsid w:val="34854836"/>
    <w:rsid w:val="34C55244"/>
    <w:rsid w:val="35057845"/>
    <w:rsid w:val="35941B96"/>
    <w:rsid w:val="35F47F68"/>
    <w:rsid w:val="368528F7"/>
    <w:rsid w:val="36DC00C4"/>
    <w:rsid w:val="37295EDD"/>
    <w:rsid w:val="3953579C"/>
    <w:rsid w:val="3957259C"/>
    <w:rsid w:val="39AD55D7"/>
    <w:rsid w:val="3A12534E"/>
    <w:rsid w:val="3A927CEC"/>
    <w:rsid w:val="3B2743CB"/>
    <w:rsid w:val="3CE52A08"/>
    <w:rsid w:val="3DE96309"/>
    <w:rsid w:val="3EAD2552"/>
    <w:rsid w:val="3FB47A4F"/>
    <w:rsid w:val="3FC013D5"/>
    <w:rsid w:val="40AF78C2"/>
    <w:rsid w:val="40B5700A"/>
    <w:rsid w:val="416412BC"/>
    <w:rsid w:val="4179247B"/>
    <w:rsid w:val="42046AF2"/>
    <w:rsid w:val="4225262B"/>
    <w:rsid w:val="42AA687B"/>
    <w:rsid w:val="43B92503"/>
    <w:rsid w:val="440241E7"/>
    <w:rsid w:val="440320D9"/>
    <w:rsid w:val="44F80FE7"/>
    <w:rsid w:val="45DF6C0E"/>
    <w:rsid w:val="461A4E18"/>
    <w:rsid w:val="46736652"/>
    <w:rsid w:val="48500C7D"/>
    <w:rsid w:val="497D1131"/>
    <w:rsid w:val="499E5A2A"/>
    <w:rsid w:val="4BFD3578"/>
    <w:rsid w:val="4C2E531C"/>
    <w:rsid w:val="4D38651A"/>
    <w:rsid w:val="4EC86945"/>
    <w:rsid w:val="4F5D167C"/>
    <w:rsid w:val="50322CE7"/>
    <w:rsid w:val="543679DF"/>
    <w:rsid w:val="557E7E8C"/>
    <w:rsid w:val="57A27E97"/>
    <w:rsid w:val="58496DE2"/>
    <w:rsid w:val="5A8D7CE6"/>
    <w:rsid w:val="5C340EC4"/>
    <w:rsid w:val="5CF55976"/>
    <w:rsid w:val="5E7C41BB"/>
    <w:rsid w:val="5EDA60C0"/>
    <w:rsid w:val="619D642A"/>
    <w:rsid w:val="61F17CB3"/>
    <w:rsid w:val="62673455"/>
    <w:rsid w:val="62CA1E7F"/>
    <w:rsid w:val="63EA6ABE"/>
    <w:rsid w:val="64304AE5"/>
    <w:rsid w:val="64410A44"/>
    <w:rsid w:val="651B02F9"/>
    <w:rsid w:val="653A08F9"/>
    <w:rsid w:val="66BA05CC"/>
    <w:rsid w:val="66C13B6E"/>
    <w:rsid w:val="68215E82"/>
    <w:rsid w:val="689A3E3E"/>
    <w:rsid w:val="68AE4F60"/>
    <w:rsid w:val="6A593A06"/>
    <w:rsid w:val="6B8D6BD6"/>
    <w:rsid w:val="6CB1648C"/>
    <w:rsid w:val="6CDA7701"/>
    <w:rsid w:val="706F10BE"/>
    <w:rsid w:val="70CD3980"/>
    <w:rsid w:val="71114683"/>
    <w:rsid w:val="7218500F"/>
    <w:rsid w:val="72D42461"/>
    <w:rsid w:val="734A263C"/>
    <w:rsid w:val="73BE240B"/>
    <w:rsid w:val="73F16AA5"/>
    <w:rsid w:val="74750EED"/>
    <w:rsid w:val="747A59BE"/>
    <w:rsid w:val="747B6133"/>
    <w:rsid w:val="76974424"/>
    <w:rsid w:val="76EA5C14"/>
    <w:rsid w:val="76FB5086"/>
    <w:rsid w:val="77DE740D"/>
    <w:rsid w:val="783D7744"/>
    <w:rsid w:val="79871F81"/>
    <w:rsid w:val="7AA43DF4"/>
    <w:rsid w:val="7C2A60F5"/>
    <w:rsid w:val="7CDD203A"/>
    <w:rsid w:val="7D246492"/>
    <w:rsid w:val="7DF20E5D"/>
    <w:rsid w:val="7EB91DDF"/>
    <w:rsid w:val="7EE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annotation text"/>
    <w:basedOn w:val="1"/>
    <w:link w:val="14"/>
    <w:uiPriority w:val="0"/>
    <w:pPr>
      <w:jc w:val="left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5"/>
    <w:qFormat/>
    <w:uiPriority w:val="0"/>
    <w:rPr>
      <w:b/>
      <w:bCs/>
    </w:rPr>
  </w:style>
  <w:style w:type="paragraph" w:styleId="8">
    <w:name w:val="Body Text First Indent"/>
    <w:basedOn w:val="2"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批注文字 字符"/>
    <w:basedOn w:val="11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7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917</Words>
  <Characters>5229</Characters>
  <Lines>43</Lines>
  <Paragraphs>12</Paragraphs>
  <TotalTime>10</TotalTime>
  <ScaleCrop>false</ScaleCrop>
  <LinksUpToDate>false</LinksUpToDate>
  <CharactersWithSpaces>6134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2021-09-08T10:40:00Z</dcterms:created>
  <dc:creator>72919</dc:creator>
  <cp:lastModifiedBy>72919</cp:lastModifiedBy>
  <dcterms:modified xsi:type="dcterms:W3CDTF">2021-09-16T03:58:11Z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FFED200DE60F49DBA8EDDF7A7CCCA6C6</vt:lpwstr>
  </property>
</Properties>
</file>