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成都市公共卫生临床医疗中心</w:t>
      </w:r>
    </w:p>
    <w:p>
      <w:pPr>
        <w:pStyle w:val="2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医院网络运维服务内容及需求</w:t>
      </w:r>
    </w:p>
    <w:p>
      <w:pPr>
        <w:pStyle w:val="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一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维保</w:t>
      </w:r>
      <w:r>
        <w:rPr>
          <w:rFonts w:hint="eastAsia" w:ascii="仿宋" w:hAnsi="仿宋" w:eastAsia="仿宋"/>
          <w:sz w:val="24"/>
        </w:rPr>
        <w:t>服务要求和内容</w:t>
      </w:r>
      <w:bookmarkStart w:id="2" w:name="_GoBack"/>
      <w:bookmarkEnd w:id="2"/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1.服务方式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1.1备件服务：提供7×24小时备件，备机支持服务；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1.2远程服务：通过VPN网络接入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进行远程协助的方式处理维保问题；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1.3现场服务：通过现场的方式直接进行故障的解决处理；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4"/>
          <w:lang w:val="en-GB"/>
        </w:rPr>
      </w:pPr>
      <w:r>
        <w:rPr>
          <w:rFonts w:hint="eastAsia" w:ascii="仿宋" w:hAnsi="仿宋" w:eastAsia="仿宋"/>
          <w:sz w:val="24"/>
        </w:rPr>
        <w:t>1.4</w:t>
      </w:r>
      <w:r>
        <w:rPr>
          <w:rFonts w:hint="eastAsia" w:ascii="仿宋" w:hAnsi="仿宋" w:eastAsia="仿宋"/>
          <w:sz w:val="24"/>
          <w:lang w:val="en-GB"/>
        </w:rPr>
        <w:t>在故障的处理过程中，优先选择最快速恢复业务的服务方式，及时对事件做出响应，缩短故障的解决时间；若远程方式无法有效解决故障，需及时通过现场服务方式进行故障的解决。</w:t>
      </w: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2.服务时间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2.1提供7×24小时服务台支持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2.2提供7×24小时备件，备机支持</w:t>
      </w:r>
    </w:p>
    <w:p>
      <w:pPr>
        <w:snapToGrid w:val="0"/>
        <w:spacing w:line="360" w:lineRule="auto"/>
        <w:rPr>
          <w:rFonts w:ascii="仿宋" w:hAnsi="仿宋" w:eastAsia="仿宋"/>
          <w:sz w:val="24"/>
          <w:lang w:val="en-AU"/>
        </w:rPr>
      </w:pPr>
      <w:r>
        <w:rPr>
          <w:rFonts w:hint="eastAsia" w:ascii="仿宋" w:hAnsi="仿宋" w:eastAsia="仿宋"/>
          <w:bCs/>
          <w:sz w:val="24"/>
        </w:rPr>
        <w:t>2.3</w:t>
      </w:r>
      <w:r>
        <w:rPr>
          <w:rFonts w:hint="eastAsia" w:ascii="仿宋" w:hAnsi="仿宋" w:eastAsia="仿宋"/>
          <w:bCs/>
          <w:sz w:val="24"/>
          <w:lang w:val="en-GB"/>
        </w:rPr>
        <w:t>提供7</w:t>
      </w:r>
      <w:r>
        <w:rPr>
          <w:rFonts w:hint="eastAsia" w:ascii="仿宋" w:hAnsi="仿宋" w:eastAsia="仿宋"/>
          <w:sz w:val="24"/>
        </w:rPr>
        <w:t>×</w:t>
      </w:r>
      <w:r>
        <w:rPr>
          <w:rFonts w:hint="eastAsia" w:ascii="仿宋" w:hAnsi="仿宋" w:eastAsia="仿宋"/>
          <w:bCs/>
          <w:sz w:val="24"/>
          <w:lang w:val="en-GB"/>
        </w:rPr>
        <w:t>24小时现场支持</w:t>
      </w: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3.服务指标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报名单位</w:t>
      </w:r>
      <w:r>
        <w:rPr>
          <w:rFonts w:hint="eastAsia" w:ascii="仿宋" w:hAnsi="仿宋" w:eastAsia="仿宋"/>
          <w:sz w:val="24"/>
        </w:rPr>
        <w:t>须提供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所有“产品清单”（详见本节“</w:t>
      </w:r>
      <w:r>
        <w:rPr>
          <w:rFonts w:ascii="仿宋" w:hAnsi="仿宋" w:eastAsia="仿宋"/>
          <w:sz w:val="24"/>
        </w:rPr>
        <w:t>9</w:t>
      </w:r>
      <w:r>
        <w:rPr>
          <w:rFonts w:hint="eastAsia" w:ascii="仿宋" w:hAnsi="仿宋" w:eastAsia="仿宋"/>
          <w:sz w:val="24"/>
        </w:rPr>
        <w:t>.产品清单”）的备件支持（7×24小时），在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现场放置部分常用及重要备件，并针对业务提供高级别的支持。</w:t>
      </w: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4.具体服务分类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bookmarkStart w:id="0" w:name="_Toc455011630"/>
            <w:bookmarkStart w:id="1" w:name="_Toc455011969"/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分类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具体服务内容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远程问题诊断与支持服务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Cs w:val="21"/>
              </w:rPr>
              <w:t>可通过指定电话、邮件、网站提出服务请求，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报名单位</w:t>
            </w:r>
            <w:r>
              <w:rPr>
                <w:rFonts w:hint="eastAsia" w:ascii="仿宋" w:hAnsi="仿宋" w:eastAsia="仿宋"/>
                <w:szCs w:val="21"/>
              </w:rPr>
              <w:t>远程服务工程师需及时与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Cs w:val="21"/>
              </w:rPr>
              <w:t>沟通，通过电话支持/远程接入等远程方式对服务范围内的设备进行诊断及技术支持。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现场支持服务</w:t>
            </w:r>
          </w:p>
        </w:tc>
        <w:tc>
          <w:tcPr>
            <w:tcW w:w="6316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对于没有条件进行远程支持、或未能通过远程支持诊断解决的问题，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报名单位</w:t>
            </w:r>
            <w:r>
              <w:rPr>
                <w:rFonts w:hint="eastAsia" w:ascii="仿宋" w:hAnsi="仿宋" w:eastAsia="仿宋"/>
                <w:szCs w:val="21"/>
              </w:rPr>
              <w:t>服务工程师在SLA约定时间内到客户现场进行问题的诊断、并负责硬件相关问题的排除。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备件支持服务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根据远程或现场诊断结果，如需更换备件来修复硬件问题，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报名单位</w:t>
            </w:r>
            <w:r>
              <w:rPr>
                <w:rFonts w:hint="eastAsia" w:ascii="仿宋" w:hAnsi="仿宋" w:eastAsia="仿宋"/>
                <w:szCs w:val="21"/>
              </w:rPr>
              <w:t>在合同规定的服务时效内将备件送至现场并使用备件恢复业务。提供7*24小时备件，备机支持服务。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紧急故障恢复服务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由于客观原因无法及时判断、定位故障的情况下，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报名单位</w:t>
            </w:r>
            <w:r>
              <w:rPr>
                <w:rFonts w:hint="eastAsia" w:ascii="仿宋" w:hAnsi="仿宋" w:eastAsia="仿宋"/>
                <w:szCs w:val="21"/>
              </w:rPr>
              <w:t>服务工程师将在征求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Cs w:val="21"/>
              </w:rPr>
              <w:t>的意见后，提供紧急故障恢复服务，利用应急预案或经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Cs w:val="21"/>
              </w:rPr>
              <w:t>许可的技术方案进行应急处置，优先恢复业务。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辅助故障定位服务</w:t>
            </w:r>
          </w:p>
        </w:tc>
        <w:tc>
          <w:tcPr>
            <w:tcW w:w="631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在客户端如出现系统故障难以迅速准确定位的情况，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报名单位</w:t>
            </w:r>
            <w:r>
              <w:rPr>
                <w:rFonts w:hint="eastAsia" w:ascii="仿宋" w:hAnsi="仿宋" w:eastAsia="仿宋"/>
                <w:szCs w:val="21"/>
              </w:rPr>
              <w:t>服务工程师提供辅助故障定位服务，通过协调、配合相关软硬件服务厂商共同对系统故障进行排查定位，避免因多方推委造成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Cs w:val="21"/>
              </w:rPr>
              <w:t>业务的损失。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5.运维服务</w:t>
      </w:r>
      <w:bookmarkEnd w:id="0"/>
      <w:bookmarkEnd w:id="1"/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5.1要求</w:t>
      </w:r>
      <w:r>
        <w:rPr>
          <w:rFonts w:hint="eastAsia" w:ascii="仿宋" w:hAnsi="仿宋" w:eastAsia="仿宋"/>
          <w:sz w:val="24"/>
          <w:lang w:eastAsia="zh-CN"/>
        </w:rPr>
        <w:t>报名单位</w:t>
      </w:r>
      <w:r>
        <w:rPr>
          <w:rFonts w:hint="eastAsia" w:ascii="仿宋" w:hAnsi="仿宋" w:eastAsia="仿宋"/>
          <w:sz w:val="24"/>
        </w:rPr>
        <w:t>提供从监控/巡检、预防性检查、日常运维到服务请求和事件响应、系统优化的全面支持。通过运维服务，为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基础架构的扩展提供实施和必要的支持工作。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5.2同时通过专业的技术服务团队通过专业的可以落实的服务方案，高效规范的管理模式、管理流程和管理工具提升</w:t>
      </w:r>
      <w:r>
        <w:rPr>
          <w:rFonts w:hint="eastAsia" w:ascii="仿宋" w:hAnsi="仿宋" w:eastAsia="仿宋"/>
          <w:sz w:val="24"/>
          <w:lang w:eastAsia="zh-CN"/>
        </w:rPr>
        <w:t>我院</w:t>
      </w:r>
      <w:r>
        <w:rPr>
          <w:rFonts w:hint="eastAsia" w:ascii="仿宋" w:hAnsi="仿宋" w:eastAsia="仿宋"/>
          <w:sz w:val="24"/>
        </w:rPr>
        <w:t>的运维服务水平。</w:t>
      </w: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6.服务方式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运维服务的形式采用按需响应式支持服务，主要采用以下两种方式提供：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6.1远程服务：通过VPN等手段进行远程监控和故障的解决处理；</w:t>
      </w:r>
    </w:p>
    <w:p>
      <w:pPr>
        <w:snapToGrid w:val="0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6.2现场服务：通过现场的方式直接进行故障的解决处理；</w:t>
      </w: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7.网络运维服务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325"/>
        <w:gridCol w:w="1417"/>
        <w:gridCol w:w="4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类别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位置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网络监控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7×24小时对网络设备（含网络安全设备）及网络整体的运行状态，各项硬件资源开销和容量，链路的健康状态等信息进行监控。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设备上下架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根据变更请求，对网络硬件设备（含网络安全硬件设备）实施上架、系统初始化及下架等操作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设备巡检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定期对网络设备（含网络安全设备）进行现场巡检，定期对设备进行清洁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故障排查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远程/现场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分析并处理网络设备（含网络安全设备）及网络链路发生的故障和终端设备断网故障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配置调整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远程/现场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根据变更请求，对网络设备（含网络安全设备）的配置（IP、VLAN、路由及端口等）进行调整，优化，版本升级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配置管理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远程/现场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对机柜位置、网络拓扑、VLAN、IP资源及网络设备的配置（含网络安全设备）进行管理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WAN管理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远程/现场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协助客户、其他供应商进行专线、VPN的接入及配置；协助其他供应商进行网络测试、扩容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优化建议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参与到数据中心网络建设项目中并对数据中心网络建设，网络安全和日常运维优化提出建议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线路调整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机房内所有线路，若存在不规范的布线的，给出实施方案并完成规范化布线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ascii="仿宋" w:hAnsi="仿宋" w:eastAsia="仿宋"/>
                <w:szCs w:val="21"/>
              </w:rPr>
              <w:t>.10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防病毒管理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远程/现场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部署、配置终端操作系统防病毒，配置及检查防病毒更新情况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ascii="仿宋" w:hAnsi="仿宋" w:eastAsia="仿宋"/>
                <w:szCs w:val="21"/>
              </w:rPr>
              <w:t>.11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新增网络布线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（1）网络线路铺设具体要求：线缆需全程套管，明线部分需走线槽，使用医院铺设好的桥架走线，未铺设桥架部分走线需经信息部审核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（2）标签制作：铺设的网络线缆，要求制作标签。标签按照医院现有的编号规则，使用标签打印机打印，标签要求整洁，清晰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（3）网络测试：要求所有的线缆（八芯）都能够测试通过，传输速度能够达到100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ascii="仿宋" w:hAnsi="仿宋" w:eastAsia="仿宋"/>
                <w:szCs w:val="21"/>
              </w:rPr>
              <w:t>.12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网络线路维修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Cs w:val="21"/>
              </w:rPr>
              <w:t>的要求对网络点位进行移点、找点和线路维修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ascii="仿宋" w:hAnsi="仿宋" w:eastAsia="仿宋"/>
                <w:szCs w:val="21"/>
              </w:rPr>
              <w:t>.13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系统升级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远程/现场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配置、检查设备系统补丁，根据系统安全进行系统及补丁升级管理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ascii="仿宋" w:hAnsi="仿宋" w:eastAsia="仿宋"/>
                <w:szCs w:val="21"/>
              </w:rPr>
              <w:t>.14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日志分析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远程/现场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定期对网络设备（含网络安全设备）的日志进行分析，发现安全问题及时上报及处理。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ascii="仿宋" w:hAnsi="仿宋" w:eastAsia="仿宋"/>
                <w:szCs w:val="21"/>
              </w:rPr>
              <w:t>.15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现场保障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</w:t>
            </w:r>
          </w:p>
        </w:tc>
        <w:tc>
          <w:tcPr>
            <w:tcW w:w="48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用户遇到重大检查时，派服务工程师到现场保障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b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132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其它</w:t>
            </w:r>
            <w:r>
              <w:rPr>
                <w:rFonts w:ascii="仿宋" w:hAnsi="仿宋" w:eastAsia="仿宋"/>
                <w:szCs w:val="21"/>
              </w:rPr>
              <w:t>要求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18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远程/现场</w:t>
            </w:r>
          </w:p>
        </w:tc>
        <w:tc>
          <w:tcPr>
            <w:tcW w:w="4899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我院</w:t>
            </w:r>
            <w:r>
              <w:rPr>
                <w:rFonts w:hint="eastAsia" w:ascii="仿宋" w:hAnsi="仿宋" w:eastAsia="仿宋"/>
                <w:szCs w:val="21"/>
              </w:rPr>
              <w:t>在后期会加入路由器、负载均衡、IDS、IPS，上网行为管理等设备，要求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报名单位</w:t>
            </w:r>
            <w:r>
              <w:rPr>
                <w:rFonts w:hint="eastAsia" w:ascii="仿宋" w:hAnsi="仿宋" w:eastAsia="仿宋"/>
                <w:szCs w:val="21"/>
              </w:rPr>
              <w:t>具备全设备调试，故障恢复能力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8</w:t>
      </w:r>
      <w:r>
        <w:rPr>
          <w:rFonts w:ascii="仿宋" w:hAnsi="仿宋" w:eastAsia="仿宋"/>
          <w:b/>
          <w:sz w:val="24"/>
        </w:rPr>
        <w:t>.</w:t>
      </w:r>
      <w:r>
        <w:rPr>
          <w:rFonts w:hint="eastAsia" w:ascii="仿宋" w:hAnsi="仿宋" w:eastAsia="仿宋"/>
          <w:b/>
          <w:sz w:val="24"/>
        </w:rPr>
        <w:t>维保服务内容</w:t>
      </w:r>
    </w:p>
    <w:p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（1）基础设施管理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确保用户信息系统网络通信传输畅通。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负责网络布线架的管理，确保配线的合理有序。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掌握用户端设备接入网络情况，以便发现问题可迅速定位。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采取技术措施，对网络内经常出现的用户需要变更位置和部门的情况进行管理。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掌握与外部的链接配置，监督网络通信状况，发现问题后与有关机构及时联系。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实时监控局域网络的运行和网络通信情况。</w:t>
      </w:r>
    </w:p>
    <w:p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（2）操作系统管理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在网络操作系统配置完成并投入正常运行后，为了确保网络操作系统工作正常，首先利用系统提供的各种管理工具软件，实时监督系统的运转情况，及时发现故障征兆并进行处理。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在网络运行过程中，随时掌握系统配置情况及配置参数变更情况，对配置参数进行备份更新。随时做到系统环境变化、业务发展需要和用户需求，动态调整系统配置参数，优化系统。</w:t>
      </w:r>
    </w:p>
    <w:p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（3）应用系统管理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确保各种网络应用服务运行的不间断性和工作性能的良好性。出现故障时应将造成的损失和影响控制在最小范围。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对于要求不可中断的关键型网络应用系统，除了在软件手段上要掌握，备份系统参数和定期备份系统、业务数据外，必要时在硬件手段上要建立和配置系统的热备份。</w:t>
      </w:r>
    </w:p>
    <w:p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（4）局域网环境检查</w:t>
      </w:r>
    </w:p>
    <w:p>
      <w:pPr>
        <w:pStyle w:val="15"/>
        <w:numPr>
          <w:ilvl w:val="0"/>
          <w:numId w:val="2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测试网络连通性。</w:t>
      </w:r>
    </w:p>
    <w:p>
      <w:pPr>
        <w:pStyle w:val="15"/>
        <w:numPr>
          <w:ilvl w:val="0"/>
          <w:numId w:val="2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查看所有路由、交换机端口以及状态灯的工作状态，保证设备工作正常。</w:t>
      </w:r>
    </w:p>
    <w:p>
      <w:pPr>
        <w:pStyle w:val="15"/>
        <w:numPr>
          <w:ilvl w:val="0"/>
          <w:numId w:val="2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检查网关设备（防火墙、路由）工作状态，确保外网连接正常。</w:t>
      </w:r>
    </w:p>
    <w:p>
      <w:pPr>
        <w:pStyle w:val="15"/>
        <w:numPr>
          <w:ilvl w:val="0"/>
          <w:numId w:val="2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检查网络线缆，确保网络线缆完好无损。</w:t>
      </w:r>
    </w:p>
    <w:p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（5）终端环境检查</w:t>
      </w:r>
    </w:p>
    <w:p>
      <w:pPr>
        <w:pStyle w:val="15"/>
        <w:numPr>
          <w:ilvl w:val="0"/>
          <w:numId w:val="3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检查终端计算机系统是否摆放整齐，检查机箱及显示器是否干净整洁。</w:t>
      </w:r>
    </w:p>
    <w:p>
      <w:pPr>
        <w:pStyle w:val="15"/>
        <w:numPr>
          <w:ilvl w:val="0"/>
          <w:numId w:val="3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检查终端计算机系统运行是否正常，磁盘空间是否满足工作需求。</w:t>
      </w:r>
    </w:p>
    <w:p>
      <w:pPr>
        <w:pStyle w:val="15"/>
        <w:numPr>
          <w:ilvl w:val="0"/>
          <w:numId w:val="3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检查安装的软件工作是否正常，保证网络环境没有病毒传播问题。一旦发现必须及时做有效性处理。</w:t>
      </w:r>
    </w:p>
    <w:p>
      <w:pPr>
        <w:pStyle w:val="15"/>
        <w:numPr>
          <w:ilvl w:val="0"/>
          <w:numId w:val="3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定期对客户机进行抽查，删除无用文件，对储存于工作无关文件的客户机进行删除清理。</w:t>
      </w:r>
    </w:p>
    <w:p>
      <w:pPr>
        <w:pStyle w:val="15"/>
        <w:numPr>
          <w:ilvl w:val="0"/>
          <w:numId w:val="3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对于计算机常用外置配件（键盘、鼠标、耳机）进行日常测试维护。</w:t>
      </w:r>
    </w:p>
    <w:p>
      <w:pPr>
        <w:pStyle w:val="15"/>
        <w:numPr>
          <w:ilvl w:val="0"/>
          <w:numId w:val="3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计算机的硬件维修、维护及更换。包括计算机无法启动、蓝屏、系统无法登陆等维护。</w:t>
      </w:r>
    </w:p>
    <w:p>
      <w:pPr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（6）其他内容</w:t>
      </w:r>
    </w:p>
    <w:p>
      <w:pPr>
        <w:pStyle w:val="15"/>
        <w:numPr>
          <w:ilvl w:val="0"/>
          <w:numId w:val="4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网络设备定期清洁、除尘。</w:t>
      </w:r>
    </w:p>
    <w:p>
      <w:pPr>
        <w:pStyle w:val="15"/>
        <w:numPr>
          <w:ilvl w:val="0"/>
          <w:numId w:val="4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网络设备标志标记修复。</w:t>
      </w:r>
    </w:p>
    <w:p>
      <w:pPr>
        <w:pStyle w:val="15"/>
        <w:numPr>
          <w:ilvl w:val="0"/>
          <w:numId w:val="4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重大检查时派服务工程师到现场保障。</w:t>
      </w:r>
    </w:p>
    <w:p>
      <w:pPr>
        <w:pStyle w:val="15"/>
        <w:numPr>
          <w:ilvl w:val="0"/>
          <w:numId w:val="4"/>
        </w:numPr>
        <w:ind w:firstLineChars="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网络的调试、网络故障的排除、网络设备的检修、布线系统的故障检修及故障排除等。</w:t>
      </w:r>
    </w:p>
    <w:p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9</w:t>
      </w:r>
      <w:r>
        <w:rPr>
          <w:rFonts w:hint="eastAsia" w:ascii="仿宋" w:hAnsi="仿宋" w:eastAsia="仿宋"/>
          <w:b/>
          <w:sz w:val="24"/>
        </w:rPr>
        <w:t>.产品清单</w:t>
      </w:r>
    </w:p>
    <w:tbl>
      <w:tblPr>
        <w:tblStyle w:val="7"/>
        <w:tblW w:w="8775" w:type="dxa"/>
        <w:tblInd w:w="-2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063"/>
        <w:gridCol w:w="1276"/>
        <w:gridCol w:w="708"/>
      </w:tblGrid>
      <w:tr>
        <w:trPr>
          <w:trHeight w:val="28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产品描述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产品数量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核心数据交互平台(含2块核心防火墙板卡、4块48口千兆电口板卡、2块24口千兆光口板卡、2块无线控制器板卡、4块万兆引擎板卡、4个电源、4个风扇)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24口接入数据交互平台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48口接入数据交互平台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出口安全网关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9.5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业务支撑系统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9.6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通信控制系统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视频会议系统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9.8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会议室多业务网关（带wifi功能）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9.9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核心数据交互平台(含2块引擎、1块24口千兆电口板卡、2块24口千兆光口板卡)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无线控制器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视频监控接入数据交互平台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核心数据交互平台(含2块引擎、1块24口千兆电口板卡、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块24口千兆光口板卡)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核心数据交互平台(含2块引擎、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块24口千兆光口板卡)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接入数据交互平台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>
        <w:trPr>
          <w:trHeight w:val="11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9.15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网络线缆改造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</w:tbl>
    <w:p>
      <w:pPr>
        <w:pStyle w:val="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三、技术要求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由于我院部分硬件设备比较陈旧，在网运行时间过长，性能低下，安全策略级别较低，基本依赖于医院的高速交换网络以及稳固的网络安全设备、安全策略提供高速数据转发和安全防御。网络以及网络安全是我院生产运行的主干枢纽和重要安全保障，因此</w:t>
      </w:r>
      <w:r>
        <w:rPr>
          <w:rFonts w:hint="eastAsia" w:ascii="仿宋" w:hAnsi="仿宋" w:eastAsia="仿宋"/>
          <w:sz w:val="24"/>
          <w:lang w:eastAsia="zh-CN"/>
        </w:rPr>
        <w:t>报名单位</w:t>
      </w:r>
      <w:r>
        <w:rPr>
          <w:rFonts w:hint="eastAsia" w:ascii="仿宋" w:hAnsi="仿宋" w:eastAsia="仿宋"/>
          <w:sz w:val="24"/>
        </w:rPr>
        <w:t>须提供部分重要设备的备品备件，备品备件须满足下列技术要求：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1.</w:t>
      </w:r>
      <w:r>
        <w:rPr>
          <w:rFonts w:hint="eastAsia" w:ascii="仿宋" w:hAnsi="仿宋" w:eastAsia="仿宋"/>
          <w:b/>
          <w:sz w:val="24"/>
        </w:rPr>
        <w:t>数据交换设备备品备件：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1.1</w:t>
      </w:r>
      <w:r>
        <w:rPr>
          <w:rFonts w:hint="eastAsia" w:ascii="仿宋" w:hAnsi="仿宋" w:eastAsia="仿宋"/>
          <w:sz w:val="24"/>
        </w:rPr>
        <w:t>配置冗余引擎后，业务接口的插槽≥3。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1.2</w:t>
      </w:r>
      <w:r>
        <w:rPr>
          <w:rFonts w:hint="eastAsia" w:ascii="仿宋" w:hAnsi="仿宋" w:eastAsia="仿宋"/>
          <w:sz w:val="24"/>
        </w:rPr>
        <w:t>整机交换容量≥19 Tbps，包转发率≥28</w:t>
      </w:r>
      <w:r>
        <w:rPr>
          <w:rFonts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0 Mpps。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3支持将多台物理设备虚拟化为一台逻辑设备，虚拟组内可以实现一致的转发表项，统一的管理，跨物理设备的链路聚合。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4支持将一台物理交换机虚拟化成N台逻辑交换机，交换机间硬件独立且相互隔离。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5支持将核心/汇聚和接入设备通过纵向虚拟化技术形成一台纵向逻辑虚拟设备，相当于把接入设备作为一块远程接口板加入核心设备，提供工信部测试报告复印件。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6支持FCOE功能，支持TRILL功能，可实现存储网络和园区网络的融合，简化数据中心部署，提供工信部测试报告复印件。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7支持SDN OPENFLOW，提供工信部测试报告复印件。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 xml:space="preserve">8支持EVB (Edge Virtual Bridging)，符合IEEE802.1qbg标准。可由硬件交换机提供虚拟机内部流量交换和流量监管；可感知虚拟机迁移并提供网络配置跟随。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ascii="仿宋" w:hAnsi="仿宋" w:eastAsia="仿宋"/>
          <w:sz w:val="24"/>
        </w:rPr>
        <w:t>1.9</w:t>
      </w:r>
      <w:r>
        <w:rPr>
          <w:rFonts w:hint="eastAsia" w:ascii="仿宋" w:hAnsi="仿宋" w:eastAsia="仿宋"/>
          <w:sz w:val="24"/>
        </w:rPr>
        <w:t>支持CPU防护攻击能力，保障CPU工作安全，提供工信部测试报告复印件。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</w:rPr>
        <w:t>可以配置EPON接口模块，作为OLT设备使用。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支持40G和100G扩展，单槽位最大支持24个40G端口，提供官网证明材料复印件。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所配置设备需提供流量监测功能（含分析报表软件），以对网络中的通信量和资源使用情况进行分类和统计，并生成报表。投标所配置各业务板卡需配标准分析功能，即IP Fix（RFC 3917）或（RFC 3954）或（RFC 3176），不接受比选申请人采用私有协议的产品。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支持AC板卡，POE，POE+，基于新一代园区网POE+供电需求（11ac）。</w:t>
      </w:r>
    </w:p>
    <w:p>
      <w:pPr>
        <w:spacing w:line="360" w:lineRule="auto"/>
        <w:ind w:left="1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</w:t>
      </w:r>
      <w:r>
        <w:rPr>
          <w:rFonts w:ascii="仿宋" w:hAnsi="仿宋" w:eastAsia="仿宋"/>
          <w:b/>
          <w:sz w:val="24"/>
        </w:rPr>
        <w:t>.</w:t>
      </w:r>
      <w:r>
        <w:rPr>
          <w:rFonts w:hint="eastAsia" w:ascii="仿宋" w:hAnsi="仿宋" w:eastAsia="仿宋"/>
          <w:b/>
          <w:sz w:val="24"/>
        </w:rPr>
        <w:t>安全网关备品备件：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hint="eastAsia" w:ascii="仿宋" w:hAnsi="仿宋" w:eastAsia="仿宋"/>
          <w:sz w:val="24"/>
        </w:rPr>
        <w:t>2.1采用多核AMP+架构安全硬件架构，网络接口≥6个10/100/1000M自适应电口，标准2U机箱，≥1个扩展槽（非SFP或COMBO接口），支持液晶屏，网络处理能力≥10Gbps，并发连接数≥260万，新建连接速率≥18万/秒（提供面板截图证明材料复印件）。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2.2产品支持路由、透明、交换以及混合模式接入，满足复杂应用环境的接入需求，支持旁路模式。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2.3支持物理子接口技术，可以虚拟多个逻辑接口（不依靠vlan区分），命令行实现。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2.4 802.3ad方式支持3种负载算法：根据源目的mac组合、根据mac和ip组合、根据ip和TCP/UDP端口组合。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2.5支持IPv6地址配置，支持NAT64和DNS64，支持IPV6手动及自动的IP/MAC探测及绑定，支持IPV6下静态路由及策略路由，支持IPV6下的IPS、AV、URL、内容过滤、QoS及行为管控，支持IPv6安全策略。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hint="eastAsia" w:ascii="仿宋" w:hAnsi="仿宋" w:eastAsia="仿宋"/>
          <w:sz w:val="24"/>
        </w:rPr>
        <w:t>2.6支持会话限制功能，可以根据IP地址、安全域（入、出、双向）、应用设定限制策略，支持按源目的IP、源目的接口、用户、地理区域及应用进行流量排名，并显示流量统计（提供截图证明材料复印件）；</w:t>
      </w: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 xml:space="preserve"> </w:t>
      </w:r>
      <w:r>
        <w:rPr>
          <w:rFonts w:hint="eastAsia" w:ascii="仿宋" w:hAnsi="仿宋" w:eastAsia="仿宋"/>
          <w:sz w:val="24"/>
        </w:rPr>
        <w:t>2.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可以通过与入侵防护策略、防弱口令扫描、情报分析、终端防病毒系统的联动，生成动态策略信息，根据用户在基本配置中配置的动态策略动作，命中动态策略的数据将会被阻断或者记录日志要求支持IPv6内容过滤，包括：http过滤、FTP过滤、DNS过滤、邮件过滤（提供截图证明材料复印件）。</w:t>
      </w:r>
    </w:p>
    <w:p>
      <w:pPr>
        <w:pStyle w:val="4"/>
        <w:spacing w:line="360" w:lineRule="auto"/>
        <w:ind w:firstLine="0" w:firstLineChars="0"/>
        <w:rPr>
          <w:rFonts w:ascii="仿宋" w:hAnsi="仿宋" w:eastAsia="仿宋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F1B2C"/>
    <w:multiLevelType w:val="multilevel"/>
    <w:tmpl w:val="219F1B2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2C64857"/>
    <w:multiLevelType w:val="multilevel"/>
    <w:tmpl w:val="22C6485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B1F3ACC"/>
    <w:multiLevelType w:val="multilevel"/>
    <w:tmpl w:val="4B1F3AC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4FE7BED"/>
    <w:multiLevelType w:val="multilevel"/>
    <w:tmpl w:val="74FE7BE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80"/>
    <w:rsid w:val="0002787E"/>
    <w:rsid w:val="000451C4"/>
    <w:rsid w:val="000666B8"/>
    <w:rsid w:val="000A5CC0"/>
    <w:rsid w:val="000D3A12"/>
    <w:rsid w:val="000F0F0D"/>
    <w:rsid w:val="001C2562"/>
    <w:rsid w:val="001F1580"/>
    <w:rsid w:val="001F336D"/>
    <w:rsid w:val="002038F0"/>
    <w:rsid w:val="0023458A"/>
    <w:rsid w:val="0025555D"/>
    <w:rsid w:val="00267DED"/>
    <w:rsid w:val="00290873"/>
    <w:rsid w:val="002A30C4"/>
    <w:rsid w:val="002D7157"/>
    <w:rsid w:val="00337FEB"/>
    <w:rsid w:val="00350CC6"/>
    <w:rsid w:val="003B5AC1"/>
    <w:rsid w:val="00402867"/>
    <w:rsid w:val="00422E32"/>
    <w:rsid w:val="00465EFC"/>
    <w:rsid w:val="004C4ACF"/>
    <w:rsid w:val="004C4F9F"/>
    <w:rsid w:val="004F2D05"/>
    <w:rsid w:val="004F4F66"/>
    <w:rsid w:val="0050678E"/>
    <w:rsid w:val="00517220"/>
    <w:rsid w:val="005B4501"/>
    <w:rsid w:val="005E5806"/>
    <w:rsid w:val="00633DF2"/>
    <w:rsid w:val="00694DA8"/>
    <w:rsid w:val="006E4307"/>
    <w:rsid w:val="006E59DF"/>
    <w:rsid w:val="00703BFF"/>
    <w:rsid w:val="00745513"/>
    <w:rsid w:val="00764926"/>
    <w:rsid w:val="00783442"/>
    <w:rsid w:val="00787AD2"/>
    <w:rsid w:val="0079308E"/>
    <w:rsid w:val="007A048F"/>
    <w:rsid w:val="007C6DE0"/>
    <w:rsid w:val="007F3BD3"/>
    <w:rsid w:val="00801DA5"/>
    <w:rsid w:val="00832879"/>
    <w:rsid w:val="00837096"/>
    <w:rsid w:val="00846DA5"/>
    <w:rsid w:val="00852BD0"/>
    <w:rsid w:val="008914E5"/>
    <w:rsid w:val="00894115"/>
    <w:rsid w:val="008C37BF"/>
    <w:rsid w:val="0091732F"/>
    <w:rsid w:val="00925FA1"/>
    <w:rsid w:val="00966484"/>
    <w:rsid w:val="00A00C3A"/>
    <w:rsid w:val="00A030AF"/>
    <w:rsid w:val="00A429EF"/>
    <w:rsid w:val="00A476B5"/>
    <w:rsid w:val="00A77361"/>
    <w:rsid w:val="00A84AA4"/>
    <w:rsid w:val="00AB307F"/>
    <w:rsid w:val="00AE408B"/>
    <w:rsid w:val="00AF0AE7"/>
    <w:rsid w:val="00B376D9"/>
    <w:rsid w:val="00BE3EBC"/>
    <w:rsid w:val="00BE4F32"/>
    <w:rsid w:val="00BF6D61"/>
    <w:rsid w:val="00C36D41"/>
    <w:rsid w:val="00C41819"/>
    <w:rsid w:val="00C450DA"/>
    <w:rsid w:val="00C84B06"/>
    <w:rsid w:val="00C90F7D"/>
    <w:rsid w:val="00CE159E"/>
    <w:rsid w:val="00CE6ABC"/>
    <w:rsid w:val="00CF5164"/>
    <w:rsid w:val="00D074B7"/>
    <w:rsid w:val="00D23FE4"/>
    <w:rsid w:val="00D24C0F"/>
    <w:rsid w:val="00D45DB1"/>
    <w:rsid w:val="00D550FB"/>
    <w:rsid w:val="00D828A6"/>
    <w:rsid w:val="00DA54DB"/>
    <w:rsid w:val="00DC19FC"/>
    <w:rsid w:val="00DC4DF3"/>
    <w:rsid w:val="00E151C1"/>
    <w:rsid w:val="00E44142"/>
    <w:rsid w:val="00EC18C5"/>
    <w:rsid w:val="00EC353E"/>
    <w:rsid w:val="00F15BAA"/>
    <w:rsid w:val="00F37243"/>
    <w:rsid w:val="00F4427E"/>
    <w:rsid w:val="00F65AE3"/>
    <w:rsid w:val="00F7375E"/>
    <w:rsid w:val="059A0B93"/>
    <w:rsid w:val="07610E7C"/>
    <w:rsid w:val="0E214046"/>
    <w:rsid w:val="17BA4F9B"/>
    <w:rsid w:val="276B33A5"/>
    <w:rsid w:val="383209C1"/>
    <w:rsid w:val="41724035"/>
    <w:rsid w:val="48E94252"/>
    <w:rsid w:val="55A71C43"/>
    <w:rsid w:val="57D4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3">
    <w:name w:val="列出段落11"/>
    <w:basedOn w:val="1"/>
    <w:qFormat/>
    <w:uiPriority w:val="34"/>
    <w:pPr>
      <w:spacing w:after="0" w:line="240" w:lineRule="auto"/>
      <w:ind w:firstLine="420" w:firstLineChars="200"/>
    </w:pPr>
    <w:rPr>
      <w:szCs w:val="22"/>
    </w:rPr>
  </w:style>
  <w:style w:type="character" w:customStyle="1" w:styleId="14">
    <w:name w:val="标题 1 Char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787</Words>
  <Characters>4489</Characters>
  <Lines>37</Lines>
  <Paragraphs>10</Paragraphs>
  <TotalTime>148</TotalTime>
  <ScaleCrop>false</ScaleCrop>
  <LinksUpToDate>false</LinksUpToDate>
  <CharactersWithSpaces>5266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2020-09-22T06:21:00Z</dcterms:created>
  <dc:creator>zz-gis@163.com</dc:creator>
  <cp:lastModifiedBy>在工作之余</cp:lastModifiedBy>
  <dcterms:modified xsi:type="dcterms:W3CDTF">2022-02-08T07:30:37Z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89C16D80C41F4EB5B1F6BB003865EBE5</vt:lpwstr>
  </property>
</Properties>
</file>