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lang w:val="en-US" w:eastAsia="zh-CN"/>
        </w:rPr>
      </w:pPr>
      <w:r>
        <w:rPr>
          <w:rFonts w:hint="eastAsia" w:ascii="仿宋" w:hAnsi="仿宋" w:eastAsia="仿宋" w:cs="仿宋"/>
          <w:lang w:val="en-US" w:eastAsia="zh-CN"/>
        </w:rPr>
        <w:t>附件2：</w:t>
      </w:r>
    </w:p>
    <w:p>
      <w:pPr>
        <w:spacing w:after="156" w:afterLines="50" w:line="420" w:lineRule="exact"/>
        <w:jc w:val="center"/>
        <w:rPr>
          <w:rFonts w:hint="default"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移动护理推车（含移动护理工作站）、</w:t>
      </w:r>
      <w:r>
        <w:rPr>
          <w:rFonts w:hint="default" w:ascii="宋体" w:hAnsi="宋体" w:eastAsia="宋体" w:cs="Times New Roman"/>
          <w:b/>
          <w:bCs/>
          <w:sz w:val="32"/>
          <w:szCs w:val="32"/>
          <w:lang w:val="en-US" w:eastAsia="zh-CN"/>
        </w:rPr>
        <w:t>移动护理PDA（临床移动终端）</w:t>
      </w:r>
      <w:r>
        <w:rPr>
          <w:rFonts w:hint="eastAsia" w:ascii="宋体" w:hAnsi="宋体" w:eastAsia="宋体" w:cs="Times New Roman"/>
          <w:b/>
          <w:bCs/>
          <w:sz w:val="32"/>
          <w:szCs w:val="32"/>
          <w:lang w:val="en-US" w:eastAsia="zh-CN"/>
        </w:rPr>
        <w:t>、</w:t>
      </w:r>
      <w:r>
        <w:rPr>
          <w:rFonts w:hint="default" w:ascii="宋体" w:hAnsi="宋体" w:eastAsia="宋体" w:cs="Times New Roman"/>
          <w:b/>
          <w:bCs/>
          <w:sz w:val="32"/>
          <w:szCs w:val="32"/>
          <w:lang w:val="en-US" w:eastAsia="zh-CN"/>
        </w:rPr>
        <w:t>护士站交互屏</w:t>
      </w:r>
      <w:r>
        <w:rPr>
          <w:rFonts w:hint="eastAsia" w:ascii="宋体" w:hAnsi="宋体" w:eastAsia="宋体" w:cs="Times New Roman"/>
          <w:b/>
          <w:bCs/>
          <w:sz w:val="32"/>
          <w:szCs w:val="32"/>
          <w:lang w:val="en-US" w:eastAsia="zh-CN"/>
        </w:rPr>
        <w:t>、</w:t>
      </w:r>
      <w:r>
        <w:rPr>
          <w:rFonts w:hint="default" w:ascii="宋体" w:hAnsi="宋体" w:eastAsia="宋体" w:cs="Times New Roman"/>
          <w:b/>
          <w:bCs/>
          <w:sz w:val="32"/>
          <w:szCs w:val="32"/>
          <w:lang w:val="en-US" w:eastAsia="zh-CN"/>
        </w:rPr>
        <w:t>移动护理IPAD</w:t>
      </w:r>
      <w:r>
        <w:rPr>
          <w:rFonts w:hint="eastAsia" w:ascii="宋体" w:hAnsi="宋体" w:eastAsia="宋体" w:cs="Times New Roman"/>
          <w:b/>
          <w:bCs/>
          <w:sz w:val="32"/>
          <w:szCs w:val="32"/>
          <w:lang w:val="en-US" w:eastAsia="zh-CN"/>
        </w:rPr>
        <w:t>参数</w:t>
      </w:r>
      <w:bookmarkStart w:id="0" w:name="_GoBack"/>
      <w:bookmarkEnd w:id="0"/>
    </w:p>
    <w:p>
      <w:pPr>
        <w:rPr>
          <w:rFonts w:hint="eastAsia"/>
          <w:lang w:val="en-US" w:eastAsia="zh-CN"/>
        </w:rPr>
      </w:pPr>
    </w:p>
    <w:p>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移动护理推车（移动护理工作站）</w:t>
      </w:r>
    </w:p>
    <w:tbl>
      <w:tblPr>
        <w:tblStyle w:val="10"/>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42"/>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pPr>
              <w:jc w:val="center"/>
              <w:rPr>
                <w:rFonts w:hint="eastAsia" w:ascii="仿宋" w:hAnsi="仿宋" w:eastAsia="仿宋" w:cs="仿宋"/>
                <w:b/>
                <w:kern w:val="0"/>
                <w:sz w:val="22"/>
                <w:szCs w:val="20"/>
              </w:rPr>
            </w:pPr>
            <w:r>
              <w:rPr>
                <w:rFonts w:hint="eastAsia" w:ascii="仿宋" w:hAnsi="仿宋" w:eastAsia="仿宋" w:cs="仿宋"/>
                <w:b/>
                <w:kern w:val="0"/>
                <w:sz w:val="22"/>
                <w:szCs w:val="20"/>
              </w:rPr>
              <w:t>序号</w:t>
            </w:r>
          </w:p>
        </w:tc>
        <w:tc>
          <w:tcPr>
            <w:tcW w:w="1942" w:type="dxa"/>
            <w:vAlign w:val="center"/>
          </w:tcPr>
          <w:p>
            <w:pPr>
              <w:jc w:val="center"/>
              <w:rPr>
                <w:rFonts w:hint="eastAsia" w:ascii="仿宋" w:hAnsi="仿宋" w:eastAsia="仿宋" w:cs="仿宋"/>
                <w:b/>
                <w:kern w:val="0"/>
                <w:sz w:val="22"/>
                <w:szCs w:val="20"/>
              </w:rPr>
            </w:pPr>
            <w:r>
              <w:rPr>
                <w:rFonts w:hint="eastAsia" w:ascii="仿宋" w:hAnsi="仿宋" w:eastAsia="仿宋" w:cs="仿宋"/>
                <w:b/>
                <w:kern w:val="0"/>
                <w:sz w:val="22"/>
                <w:szCs w:val="20"/>
              </w:rPr>
              <w:t>指标项</w:t>
            </w:r>
          </w:p>
        </w:tc>
        <w:tc>
          <w:tcPr>
            <w:tcW w:w="6917" w:type="dxa"/>
            <w:vAlign w:val="center"/>
          </w:tcPr>
          <w:p>
            <w:pPr>
              <w:jc w:val="center"/>
              <w:rPr>
                <w:rFonts w:hint="eastAsia" w:ascii="仿宋" w:hAnsi="仿宋" w:eastAsia="仿宋" w:cs="仿宋"/>
                <w:b/>
                <w:kern w:val="0"/>
                <w:sz w:val="22"/>
                <w:szCs w:val="20"/>
              </w:rPr>
            </w:pPr>
            <w:r>
              <w:rPr>
                <w:rFonts w:hint="eastAsia" w:ascii="仿宋" w:hAnsi="仿宋" w:eastAsia="仿宋" w:cs="仿宋"/>
                <w:b/>
                <w:kern w:val="0"/>
                <w:sz w:val="22"/>
                <w:szCs w:val="20"/>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整车重量</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整车重量≤55KG（不含挂件）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外形尺寸</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宽480 x深530 x高960mm（台面高度），尺寸允许±10mm偏离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控制面板指示</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台面上配备一键开机状态指示灯和电池电量指示灯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★台面把手</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台面与把手开模一体成型，把手方向朝上，把手最高点高于台面，方便推拉。（提供把手实物图片）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▲工作台面</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工作台面有凸型三面塑料围挡，且围挡与工作台面一体成型，防止物品掉落及液体渗漏。围挡采用一体成型塑料抑菌材质，围挡高度≥25mm(提供推车台面围挡实物图片)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整车材质</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车体表面抑菌处理，方便清洁； 面板采用高光、高亮的ABS抑菌材料，耐受酒精、洗必泰、施康等医院常用消毒剂擦拭消毒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▲线缆</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整车线缆隐藏式设计（包含显示器电源线、数据线等），车体线缆无外露（需提供政府机构出具的关于线缆隐藏相关的证明文件，其获证单位必须为推车制造商）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▲抽屉</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抽屉高度类型3个，插片式分区，可放置不同高度的耗材和工具；共5层抽屉；(提供实物测量照片)</w:t>
            </w:r>
          </w:p>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第一层键盘抽屉（宽390x深330x高65mm）；第二层抽屉（宽390x深330x高90mm）；第三层抽屉（宽390x深330x高90mm）；第四层抽屉（宽390x深330x高185mm）；第五层抽屉（宽390x深330x高215mm）抽屉尺寸允许±5mm偏离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挂件</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垃圾桶x2；锐器盒支架x1；压脉带盒及压脉带盒支架x1；手消液支架x1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脚轮</w:t>
            </w:r>
          </w:p>
        </w:tc>
        <w:tc>
          <w:tcPr>
            <w:tcW w:w="6917" w:type="dxa"/>
            <w:vAlign w:val="center"/>
          </w:tcPr>
          <w:p>
            <w:pPr>
              <w:jc w:val="left"/>
              <w:rPr>
                <w:rFonts w:hint="eastAsia" w:ascii="仿宋" w:hAnsi="仿宋" w:eastAsia="仿宋" w:cs="仿宋"/>
                <w:kern w:val="0"/>
                <w:sz w:val="22"/>
                <w:szCs w:val="20"/>
              </w:rPr>
            </w:pPr>
            <w:r>
              <w:rPr>
                <w:rFonts w:hint="eastAsia" w:ascii="仿宋" w:hAnsi="仿宋" w:eastAsia="仿宋" w:cs="仿宋"/>
                <w:kern w:val="0"/>
                <w:sz w:val="22"/>
                <w:szCs w:val="20"/>
              </w:rPr>
              <w:t xml:space="preserve">4个医疗级万向脚轮；2个前轮带刹车功能，超静音、防滑、防缠绕脚轮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制动方式</w:t>
            </w:r>
          </w:p>
        </w:tc>
        <w:tc>
          <w:tcPr>
            <w:tcW w:w="6917" w:type="dxa"/>
            <w:vAlign w:val="center"/>
          </w:tcPr>
          <w:p>
            <w:pPr>
              <w:jc w:val="left"/>
              <w:rPr>
                <w:rFonts w:hint="eastAsia" w:ascii="仿宋" w:hAnsi="仿宋" w:eastAsia="仿宋" w:cs="仿宋"/>
                <w:kern w:val="0"/>
                <w:sz w:val="22"/>
                <w:szCs w:val="20"/>
              </w:rPr>
            </w:pPr>
            <w:r>
              <w:rPr>
                <w:rFonts w:hint="eastAsia" w:ascii="仿宋" w:hAnsi="仿宋" w:eastAsia="仿宋" w:cs="仿宋"/>
                <w:kern w:val="0"/>
                <w:sz w:val="22"/>
                <w:szCs w:val="20"/>
              </w:rPr>
              <w:t>脚踏式刹车系统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工作站放置位置</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工作站主机为内嵌式设计，嵌入到车体中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▲工作站一体化</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为保证产品一体化结构的稳定性和兼容性，并便于后期售后、维护管理，所投产品内嵌工作站须与整车同一制造商（提供国家部门出具的证明文件，其获证单位必须为推车制造商）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CPU</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不低于酷睿Intel i5 6代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内存</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不低于4GB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硬盘</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固态硬盘不低于128GB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无线网络</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支持2.4G/5G双频网络，802.11 a/b/g/n/ac；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外部接口</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USB2.0 x2，USB3.0 x 2，RJ232 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天线</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内置天线设计，无任何外露。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操作系统</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支持Windows7/8/10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电池电芯</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磷酸铁锂，循环次数≥2000次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续航时间</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≥8小时</w:t>
            </w:r>
            <w:r>
              <w:rPr>
                <w:rFonts w:hint="eastAsia" w:ascii="仿宋" w:hAnsi="仿宋" w:eastAsia="仿宋" w:cs="仿宋"/>
                <w:kern w:val="0"/>
                <w:sz w:val="22"/>
                <w:szCs w:val="20"/>
                <w:lang w:eastAsia="zh-CN"/>
              </w:rPr>
              <w:t>容量不小于</w:t>
            </w:r>
            <w:r>
              <w:rPr>
                <w:rFonts w:hint="eastAsia" w:ascii="仿宋" w:hAnsi="仿宋" w:eastAsia="仿宋" w:cs="仿宋"/>
                <w:kern w:val="0"/>
                <w:sz w:val="22"/>
                <w:szCs w:val="20"/>
              </w:rPr>
              <w:t>16V</w:t>
            </w:r>
            <w:r>
              <w:rPr>
                <w:rFonts w:hint="eastAsia" w:ascii="仿宋" w:hAnsi="仿宋" w:eastAsia="仿宋" w:cs="仿宋"/>
                <w:kern w:val="0"/>
                <w:sz w:val="22"/>
                <w:szCs w:val="20"/>
                <w:lang w:val="en-US" w:eastAsia="zh-CN"/>
              </w:rPr>
              <w:t>*</w:t>
            </w:r>
            <w:r>
              <w:rPr>
                <w:rFonts w:hint="eastAsia" w:ascii="仿宋" w:hAnsi="仿宋" w:eastAsia="仿宋" w:cs="仿宋"/>
                <w:kern w:val="0"/>
                <w:sz w:val="22"/>
                <w:szCs w:val="20"/>
              </w:rPr>
              <w:t>21.6Ah =345.6Wh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充满电时间</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漏电保护</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具有外壳对地漏电电流保护、电击保护功能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电流电压保护</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具有过压、过流、欠压、过充、过放保护功能（需提供第三方机构出具的关于输出电压可调节证明文件，其获证单位必须为推车制造商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电源管理</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充放电管理设计，显示电量并且智能动态管理功耗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屏幕</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≥21.5"  IPS屏；16：9；分辨率≥1920×1080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支架调整角度</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水平左旋转≥90°，水平右旋转≥270°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▲显示器支架</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支持显示器升降，升降范围≥50mm（提供政府部门出具的显示器支架升降的相关证明文件，其获证单位必须为推车制造商）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线缆隐藏舱</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 xml:space="preserve">固定在显示器支架上，可完全贴合显示器后面板，可收纳显示器电源线及数据线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医用环境</w:t>
            </w:r>
          </w:p>
        </w:tc>
        <w:tc>
          <w:tcPr>
            <w:tcW w:w="6917" w:type="dxa"/>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整车通过YY 0505:2012医用电气设备安全检测（需提供第三方机构出具的医用电气设备安全检测证明复印件）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产品认证</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投标产品整体具有3C认证证书（需提供证书复印件，其获证单位必须为推车制造商，并且证书型号与投标型号必须一致）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adjustRightInd w:val="0"/>
              <w:snapToGrid w:val="0"/>
              <w:jc w:val="center"/>
              <w:rPr>
                <w:rFonts w:hint="eastAsia" w:ascii="仿宋" w:hAnsi="仿宋" w:eastAsia="仿宋" w:cs="仿宋"/>
                <w:kern w:val="0"/>
                <w:sz w:val="22"/>
                <w:szCs w:val="20"/>
              </w:rPr>
            </w:pPr>
            <w:r>
              <w:rPr>
                <w:rFonts w:hint="eastAsia" w:ascii="仿宋" w:hAnsi="仿宋" w:eastAsia="仿宋" w:cs="仿宋"/>
                <w:kern w:val="0"/>
                <w:sz w:val="22"/>
                <w:szCs w:val="20"/>
              </w:rPr>
              <w:t>▲电源开关</w:t>
            </w:r>
          </w:p>
        </w:tc>
        <w:tc>
          <w:tcPr>
            <w:tcW w:w="6917" w:type="dxa"/>
            <w:vAlign w:val="center"/>
          </w:tcPr>
          <w:p>
            <w:pPr>
              <w:adjustRightInd w:val="0"/>
              <w:snapToGrid w:val="0"/>
              <w:rPr>
                <w:rFonts w:hint="eastAsia" w:ascii="仿宋" w:hAnsi="仿宋" w:eastAsia="仿宋" w:cs="仿宋"/>
                <w:kern w:val="0"/>
                <w:sz w:val="22"/>
                <w:szCs w:val="20"/>
              </w:rPr>
            </w:pPr>
            <w:r>
              <w:rPr>
                <w:rFonts w:hint="eastAsia" w:ascii="仿宋" w:hAnsi="仿宋" w:eastAsia="仿宋" w:cs="仿宋"/>
                <w:kern w:val="0"/>
                <w:sz w:val="22"/>
                <w:szCs w:val="20"/>
              </w:rPr>
              <w:t>电源放电开关位于台面后方，可控制电池放电，不影响电池充电，同时防止误触。（需提供电源开关实物图片）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电池组安全</w:t>
            </w:r>
          </w:p>
        </w:tc>
        <w:tc>
          <w:tcPr>
            <w:tcW w:w="6917" w:type="dxa"/>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整车电池通过GB 31241-2014便携式电池组安全检测（需提供第三方机构出具的检测证明复印件）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电池运输安全</w:t>
            </w:r>
          </w:p>
        </w:tc>
        <w:tc>
          <w:tcPr>
            <w:tcW w:w="6917" w:type="dxa"/>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整车电池通过UN38.3认证（需提供第三方机构出具的检测证明复印件）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防水防尘</w:t>
            </w:r>
          </w:p>
        </w:tc>
        <w:tc>
          <w:tcPr>
            <w:tcW w:w="6917" w:type="dxa"/>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整车通过防水防尘检测（需提供第三方机构出具的防水防尘检测证明复印件）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5"/>
              <w:numPr>
                <w:ilvl w:val="0"/>
                <w:numId w:val="1"/>
              </w:numPr>
              <w:ind w:left="0" w:firstLine="0" w:firstLineChars="0"/>
              <w:jc w:val="center"/>
              <w:rPr>
                <w:rFonts w:hint="eastAsia" w:ascii="仿宋" w:hAnsi="仿宋" w:eastAsia="仿宋" w:cs="仿宋"/>
                <w:kern w:val="0"/>
                <w:sz w:val="22"/>
                <w:szCs w:val="20"/>
              </w:rPr>
            </w:pPr>
          </w:p>
        </w:tc>
        <w:tc>
          <w:tcPr>
            <w:tcW w:w="1942" w:type="dxa"/>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▲辐射安全</w:t>
            </w:r>
          </w:p>
        </w:tc>
        <w:tc>
          <w:tcPr>
            <w:tcW w:w="6917" w:type="dxa"/>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制造商具有国家政府部门颁发的辐射安全许可证，需提供证书复印件。</w:t>
            </w:r>
          </w:p>
        </w:tc>
      </w:tr>
    </w:tbl>
    <w:p>
      <w:pPr>
        <w:rPr>
          <w:rFonts w:hint="eastAsia" w:ascii="仿宋" w:hAnsi="仿宋" w:eastAsia="仿宋" w:cs="仿宋"/>
          <w:sz w:val="22"/>
        </w:rPr>
      </w:pPr>
    </w:p>
    <w:p>
      <w:pPr>
        <w:widowControl/>
        <w:jc w:val="left"/>
        <w:rPr>
          <w:rFonts w:hint="eastAsia" w:ascii="仿宋" w:hAnsi="仿宋" w:eastAsia="仿宋" w:cs="仿宋"/>
        </w:rPr>
      </w:pPr>
      <w:r>
        <w:rPr>
          <w:rFonts w:hint="eastAsia" w:ascii="仿宋" w:hAnsi="仿宋" w:eastAsia="仿宋" w:cs="仿宋"/>
        </w:rPr>
        <w:br w:type="page"/>
      </w:r>
    </w:p>
    <w:p>
      <w:pPr>
        <w:pStyle w:val="5"/>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移动护理PDA（临床移动终端）</w:t>
      </w:r>
    </w:p>
    <w:tbl>
      <w:tblPr>
        <w:tblStyle w:val="10"/>
        <w:tblW w:w="5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66"/>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jc w:val="center"/>
              <w:rPr>
                <w:rFonts w:hint="eastAsia" w:ascii="仿宋" w:hAnsi="仿宋" w:eastAsia="仿宋" w:cs="仿宋"/>
                <w:b/>
                <w:kern w:val="0"/>
                <w:sz w:val="22"/>
                <w:szCs w:val="22"/>
              </w:rPr>
            </w:pPr>
            <w:r>
              <w:rPr>
                <w:rFonts w:hint="eastAsia" w:ascii="仿宋" w:hAnsi="仿宋" w:eastAsia="仿宋" w:cs="仿宋"/>
                <w:b/>
                <w:kern w:val="0"/>
                <w:sz w:val="22"/>
                <w:szCs w:val="22"/>
              </w:rPr>
              <w:t>序号</w:t>
            </w:r>
          </w:p>
        </w:tc>
        <w:tc>
          <w:tcPr>
            <w:tcW w:w="1013" w:type="pct"/>
            <w:vAlign w:val="center"/>
          </w:tcPr>
          <w:p>
            <w:pPr>
              <w:jc w:val="center"/>
              <w:rPr>
                <w:rFonts w:hint="eastAsia" w:ascii="仿宋" w:hAnsi="仿宋" w:eastAsia="仿宋" w:cs="仿宋"/>
                <w:b/>
                <w:kern w:val="0"/>
                <w:sz w:val="22"/>
                <w:szCs w:val="22"/>
              </w:rPr>
            </w:pPr>
            <w:r>
              <w:rPr>
                <w:rFonts w:hint="eastAsia" w:ascii="仿宋" w:hAnsi="仿宋" w:eastAsia="仿宋" w:cs="仿宋"/>
                <w:b/>
                <w:kern w:val="0"/>
                <w:sz w:val="22"/>
                <w:szCs w:val="22"/>
              </w:rPr>
              <w:t>指标项</w:t>
            </w:r>
          </w:p>
        </w:tc>
        <w:tc>
          <w:tcPr>
            <w:tcW w:w="3522" w:type="pct"/>
            <w:vAlign w:val="center"/>
          </w:tcPr>
          <w:p>
            <w:pPr>
              <w:jc w:val="center"/>
              <w:rPr>
                <w:rFonts w:hint="eastAsia" w:ascii="仿宋" w:hAnsi="仿宋" w:eastAsia="仿宋" w:cs="仿宋"/>
                <w:b/>
                <w:kern w:val="0"/>
                <w:sz w:val="22"/>
                <w:szCs w:val="22"/>
              </w:rPr>
            </w:pPr>
            <w:r>
              <w:rPr>
                <w:rFonts w:hint="eastAsia" w:ascii="仿宋" w:hAnsi="仿宋" w:eastAsia="仿宋" w:cs="仿宋"/>
                <w:b/>
                <w:kern w:val="0"/>
                <w:sz w:val="22"/>
                <w:szCs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处理器</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≥8核处理器，频率≥2.3GHZ（需提供原厂彩页）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内存容量</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≥3GB RAM，≥32GB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续航能力</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可充电的锂离子电池，容量≥4100mAh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★电池一体化</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为避免后期电池接触不良等问题，电池采用一体化设计，不可拆卸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★信息安全</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USB连接需要安全授权，防止恶意链接及下载上传和下载不良软件（需提供功能截图）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按键</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电源键，扫描键（左右），手电筒键，主页键，灵犀键（快捷功能键）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屏幕</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≥5英寸，电容多点触控，2.5D圆弧技术，采用康宁玻璃盖板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分辨率</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≥1280 x720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摄像头</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≥1300万像素，自动对焦摄像头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隐蔽取证</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摄像头位于设备顶部，与扫描头在同一位置，取证方便、隐蔽（需提供产品实物图片证明文件）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手电筒</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双手电筒设置，分别方便护士察看病人瞳孔和夜间查房；在关机状态下也可以正常使用瞳孔手电筒。其中瞳孔手电为独立物理按键控制；查房手电为软件控制（需提供原厂彩页）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重量</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≤230g（含标准电池）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防摔抗震</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可承受1.2m高处到地面的多次跌落；1000次0.5米滚桶测试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WIFI网络</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支持802.11a/b/g/n/ac协议，2.4G/5G双频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无线广域网</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支持4G全网通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蓝牙</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≥Bluetooth 4.1+LE+HS+EDR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条码扫描引擎</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知名扫描头；扫描范围：≥40°(水平), ≥ 30° (垂直)；扫描角度：旋转角度360°，上下倾角：±45°，左右倾角：±60°;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条码扫描窗</w:t>
            </w:r>
          </w:p>
        </w:tc>
        <w:tc>
          <w:tcPr>
            <w:tcW w:w="3522" w:type="pct"/>
            <w:vAlign w:val="center"/>
          </w:tcPr>
          <w:p>
            <w:pPr>
              <w:jc w:val="left"/>
              <w:rPr>
                <w:rFonts w:hint="eastAsia" w:ascii="仿宋" w:hAnsi="仿宋" w:eastAsia="仿宋" w:cs="仿宋"/>
                <w:kern w:val="0"/>
                <w:sz w:val="22"/>
                <w:szCs w:val="22"/>
              </w:rPr>
            </w:pPr>
            <w:r>
              <w:rPr>
                <w:rFonts w:hint="eastAsia" w:ascii="仿宋" w:hAnsi="仿宋" w:eastAsia="仿宋" w:cs="仿宋"/>
                <w:kern w:val="0"/>
                <w:sz w:val="22"/>
                <w:szCs w:val="22"/>
              </w:rPr>
              <w:t>为方便医护人员无需弯曲手腕即可完成扫描，扫描窗口采用斜切角15°设计。（需提供实物图片）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连续扫描</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可支持条码屏幕倒转扫描和自动连续扫描，速度分快速、中速、慢速（需提供功能截图证明文件）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操作系统</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Android7.1或以上医疗操作系统（需提供医疗操作系统软件著作权复印件并加盖原厂商公章，其获证单位必须为投标产品原厂商）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个性化桌面</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通过扫描二维码快速实现个性化桌面设置，满足不同的应用场景要求。（需提供个性化桌面著作权复印件并加盖原厂商公章，其获证单位必须为投标产品原厂商）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固件升级</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支持OTA在线系统升级，当设备收到新版本更新提示时，在连接好WiFi无线网络的环境下，用户可选择更新，自动下载、验证、更新系统升级包。升级记录可查，可多设备批量进行系统升级。（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超级用户</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内置超级用户程序，防止用户忘记密码时解锁不了设备（需提供功能截图证明文件）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一键启动</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设备具有一键启动功能，用户可自由设置相关软件的一键启动（需提供一键启动相关软件著作权）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扫描配置</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支持在原始扫描结果上自定义添加前缀和后缀，支持在原始扫码结果上添加TAB,空格,回车换行,任意字符串等前后缀字符功能,满足客户对扫码结果的个性定制需求（需提供功能截图证明文件）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adjustRightInd w:val="0"/>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时间同步</w:t>
            </w:r>
          </w:p>
        </w:tc>
        <w:tc>
          <w:tcPr>
            <w:tcW w:w="3522" w:type="pct"/>
            <w:vAlign w:val="center"/>
          </w:tcPr>
          <w:p>
            <w:pPr>
              <w:adjustRightInd w:val="0"/>
              <w:snapToGrid w:val="0"/>
              <w:jc w:val="left"/>
              <w:rPr>
                <w:rFonts w:hint="eastAsia" w:ascii="仿宋" w:hAnsi="仿宋" w:eastAsia="仿宋" w:cs="仿宋"/>
                <w:kern w:val="0"/>
                <w:sz w:val="22"/>
                <w:szCs w:val="22"/>
              </w:rPr>
            </w:pPr>
            <w:r>
              <w:rPr>
                <w:rFonts w:hint="eastAsia" w:ascii="仿宋" w:hAnsi="仿宋" w:eastAsia="仿宋" w:cs="仿宋"/>
                <w:kern w:val="0"/>
                <w:sz w:val="22"/>
                <w:szCs w:val="22"/>
              </w:rPr>
              <w:t>内网自动进行时间同步（需提供功能截图证明文件）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网络安全管理</w:t>
            </w:r>
          </w:p>
        </w:tc>
        <w:tc>
          <w:tcPr>
            <w:tcW w:w="3522" w:type="pct"/>
            <w:vAlign w:val="center"/>
          </w:tcPr>
          <w:p>
            <w:pPr>
              <w:contextualSpacing/>
              <w:jc w:val="left"/>
              <w:rPr>
                <w:rFonts w:hint="eastAsia" w:ascii="仿宋" w:hAnsi="仿宋" w:eastAsia="仿宋" w:cs="仿宋"/>
                <w:kern w:val="0"/>
                <w:sz w:val="22"/>
                <w:szCs w:val="22"/>
              </w:rPr>
            </w:pPr>
            <w:r>
              <w:rPr>
                <w:rFonts w:hint="eastAsia" w:ascii="仿宋" w:hAnsi="仿宋" w:eastAsia="仿宋" w:cs="仿宋"/>
                <w:kern w:val="0"/>
                <w:sz w:val="22"/>
                <w:szCs w:val="22"/>
              </w:rPr>
              <w:t>不借助任何第三方软件即可实现对医院Wlan指定SSID和MAC地址双向绑定，确保设备院内医疗使用。（需提供功能截图证明文件）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adjustRightInd w:val="0"/>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Wi-Fi网络配置</w:t>
            </w:r>
          </w:p>
        </w:tc>
        <w:tc>
          <w:tcPr>
            <w:tcW w:w="3522" w:type="pct"/>
            <w:vAlign w:val="center"/>
          </w:tcPr>
          <w:p>
            <w:pPr>
              <w:adjustRightInd w:val="0"/>
              <w:snapToGrid w:val="0"/>
              <w:jc w:val="left"/>
              <w:rPr>
                <w:rFonts w:hint="eastAsia" w:ascii="仿宋" w:hAnsi="仿宋" w:eastAsia="仿宋" w:cs="仿宋"/>
                <w:kern w:val="0"/>
                <w:sz w:val="22"/>
                <w:szCs w:val="22"/>
              </w:rPr>
            </w:pPr>
            <w:r>
              <w:rPr>
                <w:rFonts w:hint="eastAsia" w:ascii="仿宋" w:hAnsi="仿宋" w:eastAsia="仿宋" w:cs="仿宋"/>
                <w:kern w:val="0"/>
                <w:sz w:val="22"/>
                <w:szCs w:val="22"/>
              </w:rPr>
              <w:t>可通过扫描二维码，快捷配置动静态IP及Wi-Fi网络（需提供功能截图证明文件）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快捷配置</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支持扫码批量快捷配置（需提供功能截图证明文件）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设备安全管理</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提供设备安全管理方案，对软件的安装/卸载、设置、USB数据传输、文件管理（复制、修改、删除文件）进行密码保护。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型号核准认证</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投标产品具有无线电发射设备型号核准证，提供证书复印件并加盖原厂商公章。（其委托单位必须为投标产品原厂商，并且证书型号与投标型号必须一致）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安规检测</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投标产品通过GB9706.1-2007安规检测（需提供检测报告复印件并加盖原厂商公章，其委托单位必须为投标产品原厂商，并且证书型号与投标型号必须一致）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医用电气安全</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投标产品通过YY0505-2012医用电气安全检测（需提供检测报告复印件并加盖原厂商公章，其委托单位必须为投标产品原厂商，并且证书型号与投标型号必须一致）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vAlign w:val="center"/>
          </w:tcPr>
          <w:p>
            <w:pPr>
              <w:contextualSpacing/>
              <w:jc w:val="center"/>
              <w:rPr>
                <w:rFonts w:hint="eastAsia" w:ascii="仿宋" w:hAnsi="仿宋" w:eastAsia="仿宋" w:cs="仿宋"/>
                <w:kern w:val="0"/>
                <w:sz w:val="22"/>
                <w:szCs w:val="22"/>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kern w:val="0"/>
                <w:sz w:val="22"/>
                <w:szCs w:val="22"/>
              </w:rPr>
              <w:t>平均无故障</w:t>
            </w:r>
          </w:p>
        </w:tc>
        <w:tc>
          <w:tcPr>
            <w:tcW w:w="3522" w:type="pct"/>
            <w:vAlign w:val="center"/>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MTBF≥20万小时（需提供检测报告复印件并加盖原厂商公章，其委托单位必须为投标产品原厂商，并且证书型号与投标型号必须一致）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5" w:type="pct"/>
            <w:vAlign w:val="center"/>
          </w:tcPr>
          <w:p>
            <w:pPr>
              <w:pStyle w:val="15"/>
              <w:numPr>
                <w:ilvl w:val="0"/>
                <w:numId w:val="2"/>
              </w:numPr>
              <w:ind w:left="0" w:firstLine="0" w:firstLineChars="0"/>
              <w:jc w:val="center"/>
              <w:rPr>
                <w:rFonts w:hint="eastAsia" w:ascii="仿宋" w:hAnsi="仿宋" w:eastAsia="仿宋" w:cs="仿宋"/>
                <w:kern w:val="0"/>
                <w:sz w:val="22"/>
                <w:szCs w:val="22"/>
              </w:rPr>
            </w:pPr>
          </w:p>
        </w:tc>
        <w:tc>
          <w:tcPr>
            <w:tcW w:w="1013" w:type="pct"/>
          </w:tcPr>
          <w:p>
            <w:pPr>
              <w:contextualSpacing/>
              <w:jc w:val="center"/>
              <w:rPr>
                <w:rFonts w:hint="eastAsia" w:ascii="仿宋" w:hAnsi="仿宋" w:eastAsia="仿宋" w:cs="仿宋"/>
                <w:kern w:val="0"/>
                <w:sz w:val="22"/>
                <w:szCs w:val="22"/>
              </w:rPr>
            </w:pPr>
            <w:r>
              <w:rPr>
                <w:rFonts w:hint="eastAsia" w:ascii="仿宋" w:hAnsi="仿宋" w:eastAsia="仿宋" w:cs="仿宋"/>
                <w:kern w:val="0"/>
                <w:sz w:val="22"/>
                <w:szCs w:val="22"/>
              </w:rPr>
              <w:t>防护等级</w:t>
            </w:r>
          </w:p>
        </w:tc>
        <w:tc>
          <w:tcPr>
            <w:tcW w:w="3522" w:type="pct"/>
          </w:tcPr>
          <w:p>
            <w:pPr>
              <w:contextualSpacing/>
              <w:rPr>
                <w:rFonts w:hint="eastAsia" w:ascii="仿宋" w:hAnsi="仿宋" w:eastAsia="仿宋" w:cs="仿宋"/>
                <w:kern w:val="0"/>
                <w:sz w:val="22"/>
                <w:szCs w:val="22"/>
              </w:rPr>
            </w:pPr>
            <w:r>
              <w:rPr>
                <w:rFonts w:hint="eastAsia" w:ascii="仿宋" w:hAnsi="仿宋" w:eastAsia="仿宋" w:cs="仿宋"/>
                <w:kern w:val="0"/>
                <w:sz w:val="22"/>
                <w:szCs w:val="22"/>
              </w:rPr>
              <w:t>IP54</w:t>
            </w:r>
          </w:p>
        </w:tc>
      </w:tr>
    </w:tbl>
    <w:p>
      <w:pPr>
        <w:rPr>
          <w:rFonts w:hint="eastAsia" w:ascii="仿宋" w:hAnsi="仿宋" w:eastAsia="仿宋" w:cs="仿宋"/>
        </w:rPr>
      </w:pPr>
    </w:p>
    <w:p>
      <w:pPr>
        <w:rPr>
          <w:rFonts w:hint="eastAsia"/>
          <w:lang w:val="en-US" w:eastAsia="zh-CN"/>
        </w:rPr>
      </w:pPr>
      <w:r>
        <w:rPr>
          <w:rFonts w:hint="eastAsia" w:ascii="仿宋" w:hAnsi="仿宋" w:eastAsia="仿宋" w:cs="仿宋"/>
          <w:lang w:val="en-US" w:eastAsia="zh-CN"/>
        </w:rPr>
        <w:br w:type="page"/>
      </w:r>
    </w:p>
    <w:p>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护士站交互屏</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1.采用LED背光; 显示尺寸≥65英寸，物理分辨率不小于3840×2160;中心亮度(含表面玻璃) ≥400 cd/m2， 色彩总数：≥10bit、响应时间：≤4ms，色域: ≥85%NTSC宽色域。</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2.显示屏体具备物理抗蓝光护眼功能,防蓝光等级不低于三级。</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3.表面钢化玻璃硬度不低于7H。</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▲4.前置输入接口至少有HDMI 2.0 In×1，（不接受转接方式）,USB 2.0×2，至少 1 路 USB 接口可支持同时在 Windows 及 Android 系统下被读取</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5.后置输入接口至少有：USB 2.0(Public)×2，USB 3.0(安卓)×1，HDMI In ×2，VGA In ×1，Audio In ×1，RJ45 ×1，RS232 ×1，Microphone In ×1 </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6.自带内置4 路矩阵式阵列麦克风。拾音范围≥8 米。</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▲7.自带内置不低于1080p摄像头位置位于正面下边, 镜头视角≥90°（提供国家认可的检验检测机构出具的第三方检测报告复印件并加盖投标人鲜章）</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8.内设自带安卓系统：Android 8.0系统及以上。</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rPr>
        <w:t>9.主页下方可任意添加设置常用工具栏, 最多可添加至6个常用工具。</w:t>
      </w:r>
    </w:p>
    <w:p>
      <w:pPr>
        <w:snapToGrid w:val="0"/>
        <w:spacing w:after="0" w:line="500" w:lineRule="exact"/>
        <w:ind w:firstLine="482"/>
        <w:rPr>
          <w:rFonts w:hint="eastAsia" w:ascii="仿宋" w:hAnsi="仿宋" w:eastAsia="仿宋" w:cs="仿宋"/>
          <w:bCs/>
          <w:sz w:val="24"/>
        </w:rPr>
      </w:pPr>
      <w:r>
        <w:rPr>
          <w:rFonts w:hint="eastAsia" w:ascii="仿宋" w:hAnsi="仿宋" w:eastAsia="仿宋" w:cs="仿宋"/>
          <w:bCs/>
          <w:sz w:val="24"/>
        </w:rPr>
        <w:t>10.满足医疗环境Windows、OFFICE等标准办公应用需求，交互大屏内置Intel规范的OPS电脑接口，可快速接入或拔除电脑模块。配置CPU i5及以上，内存≥8G,储存≥128G固态硬盘ops电脑。</w:t>
      </w:r>
    </w:p>
    <w:p>
      <w:pPr>
        <w:rPr>
          <w:rFonts w:hint="eastAsia"/>
        </w:rPr>
      </w:pPr>
      <w:r>
        <w:rPr>
          <w:rFonts w:hint="eastAsia" w:ascii="仿宋" w:hAnsi="仿宋" w:eastAsia="仿宋" w:cs="仿宋"/>
        </w:rPr>
        <w:br w:type="page"/>
      </w:r>
    </w:p>
    <w:p>
      <w:pPr>
        <w:pStyle w:val="5"/>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lang w:eastAsia="zh-CN"/>
        </w:rPr>
        <w:t>护士站</w:t>
      </w:r>
      <w:r>
        <w:rPr>
          <w:rFonts w:hint="eastAsia" w:ascii="仿宋" w:hAnsi="仿宋" w:eastAsia="仿宋" w:cs="仿宋"/>
          <w:lang w:val="en-US" w:eastAsia="zh-CN"/>
        </w:rPr>
        <w:t>IPAD</w:t>
      </w:r>
    </w:p>
    <w:p>
      <w:pPr>
        <w:snapToGrid w:val="0"/>
        <w:spacing w:after="0" w:line="50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1，不小于</w:t>
      </w:r>
      <w:r>
        <w:rPr>
          <w:rFonts w:hint="eastAsia" w:ascii="仿宋" w:hAnsi="仿宋" w:eastAsia="仿宋" w:cs="仿宋"/>
          <w:bCs/>
          <w:sz w:val="24"/>
        </w:rPr>
        <w:t>10寸</w:t>
      </w:r>
      <w:r>
        <w:rPr>
          <w:rFonts w:hint="eastAsia" w:ascii="仿宋" w:hAnsi="仿宋" w:eastAsia="仿宋" w:cs="仿宋"/>
          <w:bCs/>
          <w:sz w:val="24"/>
          <w:lang w:val="en-US" w:eastAsia="zh-CN"/>
        </w:rPr>
        <w:t>；</w:t>
      </w:r>
    </w:p>
    <w:p>
      <w:pPr>
        <w:snapToGrid w:val="0"/>
        <w:spacing w:after="0" w:line="5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2，</w:t>
      </w:r>
      <w:r>
        <w:rPr>
          <w:rFonts w:hint="eastAsia" w:ascii="仿宋" w:hAnsi="仿宋" w:eastAsia="仿宋" w:cs="仿宋"/>
          <w:bCs/>
          <w:sz w:val="24"/>
        </w:rPr>
        <w:t xml:space="preserve">LCD屏幕 </w:t>
      </w:r>
      <w:r>
        <w:rPr>
          <w:rFonts w:hint="eastAsia" w:ascii="仿宋" w:hAnsi="仿宋" w:eastAsia="仿宋" w:cs="仿宋"/>
          <w:bCs/>
          <w:sz w:val="24"/>
          <w:lang w:eastAsia="zh-CN"/>
        </w:rPr>
        <w:t>；</w:t>
      </w:r>
    </w:p>
    <w:p>
      <w:pPr>
        <w:snapToGrid w:val="0"/>
        <w:spacing w:after="0" w:line="50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3，不小于</w:t>
      </w:r>
      <w:r>
        <w:rPr>
          <w:rFonts w:hint="eastAsia" w:ascii="仿宋" w:hAnsi="仿宋" w:eastAsia="仿宋" w:cs="仿宋"/>
          <w:bCs/>
          <w:sz w:val="24"/>
        </w:rPr>
        <w:t>屏占比：90%</w:t>
      </w:r>
      <w:r>
        <w:rPr>
          <w:rFonts w:hint="eastAsia" w:ascii="仿宋" w:hAnsi="仿宋" w:eastAsia="仿宋" w:cs="仿宋"/>
          <w:bCs/>
          <w:sz w:val="24"/>
          <w:lang w:eastAsia="zh-CN"/>
        </w:rPr>
        <w:t>；</w:t>
      </w:r>
    </w:p>
    <w:p>
      <w:pPr>
        <w:snapToGrid w:val="0"/>
        <w:spacing w:after="0" w:line="5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4，不小于</w:t>
      </w:r>
      <w:r>
        <w:rPr>
          <w:rFonts w:hint="eastAsia" w:ascii="仿宋" w:hAnsi="仿宋" w:eastAsia="仿宋" w:cs="仿宋"/>
          <w:bCs/>
          <w:sz w:val="24"/>
        </w:rPr>
        <w:t xml:space="preserve">分辨率：2560*1600 </w:t>
      </w:r>
      <w:r>
        <w:rPr>
          <w:rFonts w:hint="eastAsia" w:ascii="仿宋" w:hAnsi="仿宋" w:eastAsia="仿宋" w:cs="仿宋"/>
          <w:bCs/>
          <w:sz w:val="24"/>
          <w:lang w:eastAsia="zh-CN"/>
        </w:rPr>
        <w:t>；</w:t>
      </w:r>
    </w:p>
    <w:p>
      <w:pPr>
        <w:snapToGrid w:val="0"/>
        <w:spacing w:after="0" w:line="5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5、不小于</w:t>
      </w:r>
      <w:r>
        <w:rPr>
          <w:rFonts w:hint="eastAsia" w:ascii="仿宋" w:hAnsi="仿宋" w:eastAsia="仿宋" w:cs="仿宋"/>
          <w:bCs/>
          <w:sz w:val="24"/>
        </w:rPr>
        <w:t>对比度：1.500:1</w:t>
      </w:r>
      <w:r>
        <w:rPr>
          <w:rFonts w:hint="eastAsia" w:ascii="仿宋" w:hAnsi="仿宋" w:eastAsia="仿宋" w:cs="仿宋"/>
          <w:bCs/>
          <w:sz w:val="24"/>
          <w:lang w:eastAsia="zh-CN"/>
        </w:rPr>
        <w:t>；</w:t>
      </w:r>
    </w:p>
    <w:p>
      <w:pPr>
        <w:snapToGrid w:val="0"/>
        <w:spacing w:after="0" w:line="50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w:t>
      </w:r>
      <w:r>
        <w:rPr>
          <w:rFonts w:hint="eastAsia" w:ascii="仿宋" w:hAnsi="仿宋" w:eastAsia="仿宋" w:cs="仿宋"/>
          <w:bCs/>
          <w:sz w:val="24"/>
          <w:lang w:eastAsia="zh-CN"/>
        </w:rPr>
        <w:t>不小于</w:t>
      </w:r>
      <w:r>
        <w:rPr>
          <w:rFonts w:hint="eastAsia" w:ascii="仿宋" w:hAnsi="仿宋" w:eastAsia="仿宋" w:cs="仿宋"/>
          <w:bCs/>
          <w:sz w:val="24"/>
        </w:rPr>
        <w:t xml:space="preserve">像素：1300 </w:t>
      </w:r>
      <w:r>
        <w:rPr>
          <w:rFonts w:hint="eastAsia" w:ascii="仿宋" w:hAnsi="仿宋" w:eastAsia="仿宋" w:cs="仿宋"/>
          <w:bCs/>
          <w:sz w:val="24"/>
          <w:lang w:val="en-US" w:eastAsia="zh-CN"/>
        </w:rPr>
        <w:t>；</w:t>
      </w:r>
    </w:p>
    <w:p>
      <w:pPr>
        <w:snapToGrid w:val="0"/>
        <w:spacing w:after="0" w:line="50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lang w:eastAsia="zh-CN"/>
        </w:rPr>
        <w:t>不小于</w:t>
      </w:r>
      <w:r>
        <w:rPr>
          <w:rFonts w:hint="eastAsia" w:ascii="仿宋" w:hAnsi="仿宋" w:eastAsia="仿宋" w:cs="仿宋"/>
          <w:bCs/>
          <w:sz w:val="24"/>
        </w:rPr>
        <w:t>内存：8+256g</w:t>
      </w:r>
      <w:r>
        <w:rPr>
          <w:rFonts w:hint="eastAsia" w:ascii="仿宋" w:hAnsi="仿宋" w:eastAsia="仿宋" w:cs="仿宋"/>
          <w:bCs/>
          <w:sz w:val="24"/>
          <w:lang w:eastAsia="zh-CN"/>
        </w:rPr>
        <w:t>；</w:t>
      </w:r>
      <w:r>
        <w:rPr>
          <w:rFonts w:hint="eastAsia" w:ascii="仿宋" w:hAnsi="仿宋" w:eastAsia="仿宋" w:cs="仿宋"/>
          <w:bCs/>
          <w:sz w:val="24"/>
        </w:rPr>
        <w:t xml:space="preserve"> </w:t>
      </w:r>
    </w:p>
    <w:p>
      <w:pPr>
        <w:snapToGrid w:val="0"/>
        <w:spacing w:after="0" w:line="5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8、不大于</w:t>
      </w:r>
      <w:r>
        <w:rPr>
          <w:rFonts w:hint="eastAsia" w:ascii="仿宋" w:hAnsi="仿宋" w:eastAsia="仿宋" w:cs="仿宋"/>
          <w:bCs/>
          <w:sz w:val="24"/>
        </w:rPr>
        <w:t>重量：460g</w:t>
      </w:r>
      <w:r>
        <w:rPr>
          <w:rFonts w:hint="eastAsia" w:ascii="仿宋" w:hAnsi="仿宋" w:eastAsia="仿宋" w:cs="仿宋"/>
          <w:bCs/>
          <w:sz w:val="24"/>
          <w:lang w:eastAsia="zh-CN"/>
        </w:rPr>
        <w:t>；</w:t>
      </w:r>
    </w:p>
    <w:p>
      <w:pPr>
        <w:snapToGrid w:val="0"/>
        <w:spacing w:after="0" w:line="50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9、</w:t>
      </w:r>
      <w:r>
        <w:rPr>
          <w:rFonts w:hint="eastAsia" w:ascii="仿宋" w:hAnsi="仿宋" w:eastAsia="仿宋" w:cs="仿宋"/>
          <w:bCs/>
          <w:sz w:val="24"/>
          <w:lang w:eastAsia="zh-CN"/>
        </w:rPr>
        <w:t>支持安装安卓应用；</w:t>
      </w:r>
    </w:p>
    <w:p>
      <w:pPr>
        <w:snapToGrid w:val="0"/>
        <w:spacing w:after="0" w:line="50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10、自带IPAD保护套和屏幕保护膜。</w:t>
      </w:r>
    </w:p>
    <w:p>
      <w:pPr>
        <w:pStyle w:val="2"/>
        <w:rPr>
          <w:rFonts w:hint="default"/>
          <w:lang w:val="en-US" w:eastAsia="zh-CN"/>
        </w:rPr>
      </w:pPr>
    </w:p>
    <w:p>
      <w:pPr>
        <w:pStyle w:val="4"/>
        <w:pageBreakBefore/>
        <w:numPr>
          <w:ilvl w:val="0"/>
          <w:numId w:val="0"/>
        </w:numPr>
        <w:spacing w:after="312"/>
        <w:jc w:val="left"/>
        <w:rPr>
          <w:rFonts w:hint="eastAsia" w:ascii="仿宋" w:hAnsi="仿宋" w:eastAsia="仿宋" w:cs="仿宋"/>
          <w:lang w:eastAsia="zh-CN"/>
        </w:rPr>
      </w:pPr>
      <w:r>
        <w:rPr>
          <w:rFonts w:hint="eastAsia" w:ascii="仿宋" w:hAnsi="仿宋" w:eastAsia="仿宋" w:cs="仿宋"/>
          <w:lang w:eastAsia="zh-CN"/>
        </w:rPr>
        <w:t>二、商务条款</w:t>
      </w:r>
    </w:p>
    <w:p>
      <w:pPr>
        <w:pStyle w:val="6"/>
        <w:spacing w:line="400" w:lineRule="exact"/>
        <w:ind w:firstLine="480"/>
        <w:rPr>
          <w:rFonts w:ascii="仿宋" w:hAnsi="仿宋" w:eastAsia="仿宋"/>
          <w:sz w:val="24"/>
        </w:rPr>
      </w:pPr>
      <w:r>
        <w:rPr>
          <w:rFonts w:hint="eastAsia" w:ascii="仿宋" w:hAnsi="仿宋" w:eastAsia="仿宋"/>
          <w:sz w:val="24"/>
        </w:rPr>
        <w:t>1. 交付（实施）的时间（期限）和地点（范围）:</w:t>
      </w:r>
    </w:p>
    <w:p>
      <w:pPr>
        <w:pStyle w:val="6"/>
        <w:spacing w:line="400" w:lineRule="exact"/>
        <w:ind w:firstLine="480"/>
        <w:rPr>
          <w:rFonts w:hint="default" w:ascii="仿宋" w:hAnsi="仿宋" w:eastAsia="仿宋"/>
          <w:sz w:val="24"/>
          <w:lang w:val="en-US" w:eastAsia="zh-CN"/>
        </w:rPr>
      </w:pPr>
      <w:r>
        <w:rPr>
          <w:rFonts w:hint="eastAsia" w:ascii="仿宋" w:hAnsi="仿宋" w:eastAsia="仿宋"/>
          <w:sz w:val="24"/>
        </w:rPr>
        <w:t>（1）交付（实施）的时间（期限）：</w:t>
      </w:r>
      <w:r>
        <w:rPr>
          <w:rFonts w:hint="eastAsia" w:ascii="仿宋" w:hAnsi="仿宋" w:eastAsia="仿宋"/>
          <w:sz w:val="24"/>
          <w:lang w:eastAsia="zh-CN"/>
        </w:rPr>
        <w:t>中标后</w:t>
      </w:r>
      <w:r>
        <w:rPr>
          <w:rFonts w:hint="eastAsia" w:ascii="仿宋" w:hAnsi="仿宋" w:eastAsia="仿宋"/>
          <w:sz w:val="24"/>
          <w:lang w:val="en-US" w:eastAsia="zh-CN"/>
        </w:rPr>
        <w:t>10个工作日内完成安装、实施、培训等工作</w:t>
      </w:r>
    </w:p>
    <w:p>
      <w:pPr>
        <w:pStyle w:val="6"/>
        <w:spacing w:line="400" w:lineRule="exact"/>
        <w:ind w:firstLine="480"/>
        <w:rPr>
          <w:rFonts w:ascii="仿宋" w:hAnsi="仿宋" w:eastAsia="仿宋"/>
          <w:sz w:val="24"/>
        </w:rPr>
      </w:pPr>
      <w:r>
        <w:rPr>
          <w:rFonts w:hint="eastAsia" w:ascii="仿宋" w:hAnsi="仿宋" w:eastAsia="仿宋"/>
          <w:sz w:val="24"/>
        </w:rPr>
        <w:t>（2）交付（实施）的地点（范围）：成都市公共卫生临床医疗中心</w:t>
      </w:r>
    </w:p>
    <w:p>
      <w:pPr>
        <w:pStyle w:val="6"/>
        <w:spacing w:line="400" w:lineRule="exact"/>
        <w:ind w:firstLine="480"/>
        <w:rPr>
          <w:rFonts w:ascii="仿宋" w:hAnsi="仿宋" w:eastAsia="仿宋"/>
          <w:sz w:val="24"/>
        </w:rPr>
      </w:pPr>
      <w:r>
        <w:rPr>
          <w:rFonts w:hint="eastAsia" w:ascii="仿宋" w:hAnsi="仿宋" w:eastAsia="仿宋"/>
          <w:sz w:val="24"/>
        </w:rPr>
        <w:t>2. 付款条件（进度和方式）：</w:t>
      </w:r>
    </w:p>
    <w:p>
      <w:pPr>
        <w:pStyle w:val="6"/>
        <w:spacing w:line="400" w:lineRule="exact"/>
        <w:ind w:firstLine="480"/>
        <w:rPr>
          <w:rFonts w:ascii="仿宋" w:hAnsi="仿宋" w:eastAsia="仿宋"/>
          <w:sz w:val="24"/>
        </w:rPr>
      </w:pPr>
      <w:r>
        <w:rPr>
          <w:rFonts w:hint="eastAsia" w:ascii="仿宋" w:hAnsi="仿宋" w:eastAsia="仿宋"/>
          <w:sz w:val="24"/>
        </w:rPr>
        <w:t>合同签订后7日内预付合同总金额的30%，所有货物及软件系统安装、调试、验收合格后30日内支付合同总金额的65%，合同总金额余下的5%待质保期（运维服务期）满后7日内无息支付。</w:t>
      </w:r>
    </w:p>
    <w:p>
      <w:pPr>
        <w:pStyle w:val="6"/>
        <w:spacing w:line="400" w:lineRule="exact"/>
        <w:ind w:firstLine="480"/>
        <w:rPr>
          <w:rFonts w:ascii="仿宋" w:hAnsi="仿宋" w:eastAsia="仿宋"/>
          <w:sz w:val="24"/>
        </w:rPr>
      </w:pPr>
      <w:r>
        <w:rPr>
          <w:rFonts w:hint="eastAsia" w:ascii="仿宋" w:hAnsi="仿宋" w:eastAsia="仿宋"/>
          <w:sz w:val="24"/>
        </w:rPr>
        <w:t>3. 质保期（运维服务期）：</w:t>
      </w:r>
    </w:p>
    <w:p>
      <w:pPr>
        <w:pStyle w:val="6"/>
        <w:spacing w:line="400" w:lineRule="exact"/>
        <w:ind w:firstLine="480"/>
        <w:rPr>
          <w:rFonts w:ascii="仿宋" w:hAnsi="仿宋" w:eastAsia="仿宋"/>
          <w:sz w:val="24"/>
        </w:rPr>
      </w:pPr>
      <w:r>
        <w:rPr>
          <w:rFonts w:hint="eastAsia" w:ascii="仿宋" w:hAnsi="仿宋" w:eastAsia="仿宋"/>
          <w:sz w:val="24"/>
        </w:rPr>
        <w:t>（1）设备质保期（软件运维服务期）为验收合格之日起</w:t>
      </w:r>
      <w:r>
        <w:rPr>
          <w:rFonts w:hint="eastAsia" w:ascii="仿宋" w:hAnsi="仿宋" w:eastAsia="仿宋"/>
          <w:sz w:val="24"/>
          <w:lang w:eastAsia="zh-CN"/>
        </w:rPr>
        <w:t>三</w:t>
      </w:r>
      <w:r>
        <w:rPr>
          <w:rFonts w:hint="eastAsia" w:ascii="仿宋" w:hAnsi="仿宋" w:eastAsia="仿宋"/>
          <w:sz w:val="24"/>
        </w:rPr>
        <w:t>年。</w:t>
      </w:r>
    </w:p>
    <w:p>
      <w:pPr>
        <w:pStyle w:val="6"/>
        <w:spacing w:line="400" w:lineRule="exact"/>
        <w:ind w:firstLine="456"/>
        <w:rPr>
          <w:rFonts w:ascii="仿宋" w:hAnsi="仿宋" w:eastAsia="仿宋"/>
          <w:spacing w:val="-6"/>
          <w:sz w:val="24"/>
        </w:rPr>
      </w:pPr>
      <w:r>
        <w:rPr>
          <w:rFonts w:hint="eastAsia" w:ascii="仿宋" w:hAnsi="仿宋" w:eastAsia="仿宋"/>
          <w:spacing w:val="-6"/>
          <w:sz w:val="24"/>
        </w:rPr>
        <w:t>（2）质保期内中标人应负责设备的维修及抢修，所需费用包含在本次报价中。</w:t>
      </w:r>
    </w:p>
    <w:p>
      <w:pPr>
        <w:pStyle w:val="6"/>
        <w:spacing w:line="400" w:lineRule="exact"/>
        <w:ind w:firstLine="480"/>
        <w:rPr>
          <w:rFonts w:ascii="仿宋" w:hAnsi="仿宋" w:eastAsia="仿宋"/>
          <w:sz w:val="24"/>
        </w:rPr>
      </w:pPr>
      <w:r>
        <w:rPr>
          <w:rFonts w:hint="eastAsia" w:ascii="仿宋" w:hAnsi="仿宋" w:eastAsia="仿宋"/>
          <w:sz w:val="24"/>
        </w:rPr>
        <w:t>（3）在软件运维服务期内，中标人应确保系统的正常、稳定、安全运行，并提供软件的技术升级服务及技术支持服务，所需费用包含在本次报价中。</w:t>
      </w:r>
    </w:p>
    <w:p>
      <w:pPr>
        <w:pStyle w:val="6"/>
        <w:spacing w:line="400" w:lineRule="exact"/>
        <w:ind w:firstLine="480"/>
        <w:rPr>
          <w:rFonts w:ascii="仿宋" w:hAnsi="仿宋" w:eastAsia="仿宋"/>
          <w:sz w:val="24"/>
        </w:rPr>
      </w:pPr>
      <w:r>
        <w:rPr>
          <w:rFonts w:ascii="仿宋" w:hAnsi="仿宋" w:eastAsia="仿宋"/>
          <w:sz w:val="24"/>
        </w:rPr>
        <w:t>4.</w:t>
      </w:r>
      <w:r>
        <w:rPr>
          <w:rFonts w:hint="eastAsia" w:ascii="仿宋" w:hAnsi="仿宋" w:eastAsia="仿宋"/>
          <w:sz w:val="24"/>
        </w:rPr>
        <w:t xml:space="preserve"> 设备包装和运输：</w:t>
      </w:r>
    </w:p>
    <w:p>
      <w:pPr>
        <w:pStyle w:val="6"/>
        <w:spacing w:line="400" w:lineRule="exact"/>
        <w:ind w:firstLine="480"/>
        <w:rPr>
          <w:rFonts w:ascii="仿宋" w:hAnsi="仿宋" w:eastAsia="仿宋"/>
          <w:sz w:val="24"/>
        </w:rPr>
      </w:pPr>
      <w:r>
        <w:rPr>
          <w:rFonts w:hint="eastAsia" w:ascii="仿宋" w:hAnsi="仿宋" w:eastAsia="仿宋"/>
          <w:sz w:val="24"/>
        </w:rPr>
        <w:t>符合国家包装及运输强制要求，如涉及财办库〔2020〕123号相关内容按其规定执行。</w:t>
      </w:r>
    </w:p>
    <w:p>
      <w:pPr>
        <w:pStyle w:val="6"/>
        <w:spacing w:line="400" w:lineRule="exact"/>
        <w:ind w:firstLine="480"/>
        <w:rPr>
          <w:rFonts w:ascii="仿宋" w:hAnsi="仿宋" w:eastAsia="仿宋"/>
          <w:sz w:val="24"/>
        </w:rPr>
      </w:pPr>
      <w:r>
        <w:rPr>
          <w:rFonts w:hint="eastAsia" w:ascii="仿宋" w:hAnsi="仿宋" w:eastAsia="仿宋"/>
          <w:sz w:val="24"/>
        </w:rPr>
        <w:t>5. 设备及软件安装调试：</w:t>
      </w:r>
    </w:p>
    <w:p>
      <w:pPr>
        <w:pStyle w:val="6"/>
        <w:spacing w:line="400" w:lineRule="exact"/>
        <w:ind w:firstLine="480"/>
        <w:rPr>
          <w:rFonts w:ascii="仿宋" w:hAnsi="仿宋" w:eastAsia="仿宋"/>
          <w:sz w:val="24"/>
        </w:rPr>
      </w:pPr>
      <w:r>
        <w:rPr>
          <w:rFonts w:hint="eastAsia" w:ascii="仿宋" w:hAnsi="仿宋" w:eastAsia="仿宋"/>
          <w:sz w:val="24"/>
        </w:rPr>
        <w:t>（1）中标人负责所供设备（若有）、软件的安装、调试及上线，达到正常运行要求，保证采购人正常使用，采购人予以配合。</w:t>
      </w:r>
    </w:p>
    <w:p>
      <w:pPr>
        <w:pStyle w:val="6"/>
        <w:spacing w:line="400" w:lineRule="exact"/>
        <w:ind w:firstLine="480"/>
        <w:rPr>
          <w:rFonts w:ascii="仿宋" w:hAnsi="仿宋" w:eastAsia="仿宋"/>
          <w:sz w:val="24"/>
        </w:rPr>
      </w:pPr>
      <w:r>
        <w:rPr>
          <w:rFonts w:hint="eastAsia" w:ascii="仿宋" w:hAnsi="仿宋" w:eastAsia="仿宋"/>
          <w:sz w:val="24"/>
        </w:rPr>
        <w:t>（2）设备（若有）、软件的安装、调试所需的工具、仪表及安装材料等应由中标人自行解决。</w:t>
      </w:r>
    </w:p>
    <w:p>
      <w:pPr>
        <w:pStyle w:val="6"/>
        <w:spacing w:line="400" w:lineRule="exact"/>
        <w:ind w:firstLine="480"/>
        <w:rPr>
          <w:rFonts w:hint="eastAsia" w:ascii="仿宋" w:hAnsi="仿宋" w:eastAsia="仿宋"/>
          <w:sz w:val="24"/>
        </w:rPr>
      </w:pPr>
      <w:r>
        <w:rPr>
          <w:rFonts w:hint="eastAsia" w:ascii="仿宋" w:hAnsi="仿宋" w:eastAsia="仿宋"/>
          <w:sz w:val="24"/>
        </w:rPr>
        <w:t>（3）中标人在采购合同签订后实施前提供详细的实施方案，并提交采购人认可。中标人应根据采购人的需要，在规定的时间内，保证质量，完成系统建设。实施过程中应科学、合理地掌握与其他工作界面的协调、交叉。</w:t>
      </w:r>
    </w:p>
    <w:p>
      <w:pPr>
        <w:pStyle w:val="6"/>
        <w:spacing w:line="400" w:lineRule="exact"/>
        <w:ind w:firstLine="480"/>
        <w:rPr>
          <w:rFonts w:hint="eastAsia" w:ascii="仿宋" w:hAnsi="仿宋" w:eastAsia="仿宋"/>
          <w:sz w:val="24"/>
          <w:lang w:eastAsia="zh-CN"/>
        </w:rPr>
      </w:pPr>
      <w:r>
        <w:rPr>
          <w:rFonts w:hint="eastAsia" w:ascii="仿宋" w:hAnsi="仿宋" w:eastAsia="仿宋"/>
          <w:sz w:val="24"/>
          <w:lang w:eastAsia="zh-CN"/>
        </w:rPr>
        <w:t>（</w:t>
      </w:r>
      <w:r>
        <w:rPr>
          <w:rFonts w:hint="eastAsia" w:ascii="仿宋" w:hAnsi="仿宋" w:eastAsia="仿宋"/>
          <w:sz w:val="24"/>
          <w:lang w:val="en-US" w:eastAsia="zh-CN"/>
        </w:rPr>
        <w:t>4</w:t>
      </w:r>
      <w:r>
        <w:rPr>
          <w:rFonts w:hint="eastAsia" w:ascii="仿宋" w:hAnsi="仿宋" w:eastAsia="仿宋"/>
          <w:sz w:val="24"/>
          <w:lang w:eastAsia="zh-CN"/>
        </w:rPr>
        <w:t>）中标人负责在该批次采购设备上部署现有移动护理系统。</w:t>
      </w:r>
    </w:p>
    <w:p>
      <w:pPr>
        <w:pStyle w:val="6"/>
        <w:spacing w:line="400" w:lineRule="exact"/>
        <w:rPr>
          <w:rFonts w:hint="default" w:ascii="仿宋" w:hAnsi="仿宋" w:eastAsia="仿宋"/>
          <w:sz w:val="24"/>
          <w:lang w:val="en-US" w:eastAsia="zh-CN"/>
        </w:rPr>
      </w:pPr>
    </w:p>
    <w:p>
      <w:pPr>
        <w:pStyle w:val="6"/>
        <w:spacing w:line="400" w:lineRule="exact"/>
        <w:ind w:firstLine="480"/>
        <w:rPr>
          <w:rFonts w:ascii="仿宋" w:hAnsi="仿宋" w:eastAsia="仿宋"/>
          <w:sz w:val="24"/>
        </w:rPr>
      </w:pPr>
      <w:r>
        <w:rPr>
          <w:rFonts w:hint="eastAsia" w:ascii="仿宋" w:hAnsi="仿宋" w:eastAsia="仿宋"/>
          <w:sz w:val="24"/>
        </w:rPr>
        <w:t>6. 售后服务：</w:t>
      </w:r>
    </w:p>
    <w:p>
      <w:pPr>
        <w:pStyle w:val="6"/>
        <w:spacing w:line="400" w:lineRule="exact"/>
        <w:ind w:firstLine="480"/>
        <w:rPr>
          <w:rFonts w:ascii="仿宋" w:hAnsi="仿宋" w:eastAsia="仿宋"/>
          <w:sz w:val="24"/>
        </w:rPr>
      </w:pPr>
      <w:r>
        <w:rPr>
          <w:rFonts w:hint="eastAsia" w:ascii="仿宋" w:hAnsi="仿宋" w:eastAsia="仿宋"/>
          <w:sz w:val="24"/>
        </w:rPr>
        <w:t>（1）投标人应在投标文件中说明在保修期内提供的服务计划，维护范围包括（包括但不限于）软、硬件安装，调试、维修，接口、集成等内容。</w:t>
      </w:r>
    </w:p>
    <w:p>
      <w:pPr>
        <w:pStyle w:val="6"/>
        <w:spacing w:line="400" w:lineRule="exact"/>
        <w:ind w:firstLine="48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）在系统的运维服务期内，中标人应确保系统的正常使用。在接到用户服务要求后应立即做出回应，并在承诺的服务时间内实施服务。</w:t>
      </w:r>
    </w:p>
    <w:p>
      <w:pPr>
        <w:pStyle w:val="6"/>
        <w:spacing w:line="400" w:lineRule="exact"/>
        <w:ind w:firstLine="48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）中标人提供壹年服务中，提供全年7天24小时服务（包括电话、远程或现场服务），并在接到采购人通知后8小时内到达现场。</w:t>
      </w:r>
    </w:p>
    <w:p>
      <w:pPr>
        <w:pStyle w:val="6"/>
        <w:spacing w:line="400" w:lineRule="exact"/>
        <w:ind w:firstLine="48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项目验收合格后，每年不低于4次的例行维护及巡检。例行维护内容包括：软件的功能增强性维护等应用软件系统扩充升级（其中包括系统维护、跟踪检测），保证中标人所开发的软件正常运行；硬件的现场巡检、调整优化，并对设备进行保养和正常维护并提交维护报告等。</w:t>
      </w:r>
    </w:p>
    <w:p>
      <w:pPr>
        <w:pStyle w:val="6"/>
        <w:spacing w:line="400" w:lineRule="exact"/>
        <w:ind w:firstLine="480"/>
        <w:rPr>
          <w:rFonts w:hint="eastAsia" w:ascii="仿宋" w:hAnsi="仿宋" w:eastAsia="仿宋"/>
          <w:sz w:val="24"/>
          <w:lang w:eastAsia="zh-CN"/>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培训：培训对象包括系统管理员、医院管理人员、操作员，系统管理人员培训内容为系统中涉及的相关技术内容；医院管理人员培训内容为系统流程和相关管理思想；操作员为系统的操作培训。根据采购人的情况制定相关培训方案，课程设置等。包括培训资料、讲义等</w:t>
      </w:r>
      <w:r>
        <w:rPr>
          <w:rFonts w:hint="eastAsia" w:ascii="仿宋" w:hAnsi="仿宋" w:eastAsia="仿宋"/>
          <w:sz w:val="24"/>
          <w:lang w:eastAsia="zh-CN"/>
        </w:rPr>
        <w:t>。</w:t>
      </w:r>
    </w:p>
    <w:p>
      <w:pPr>
        <w:pStyle w:val="6"/>
        <w:spacing w:line="400" w:lineRule="exact"/>
        <w:ind w:firstLine="480"/>
        <w:rPr>
          <w:rFonts w:hint="eastAsia" w:ascii="仿宋" w:hAnsi="仿宋" w:eastAsia="仿宋"/>
          <w:sz w:val="24"/>
          <w:lang w:eastAsia="zh-CN"/>
        </w:rPr>
      </w:pPr>
      <w:r>
        <w:rPr>
          <w:rFonts w:hint="eastAsia" w:ascii="仿宋" w:hAnsi="仿宋" w:eastAsia="仿宋"/>
          <w:sz w:val="24"/>
          <w:lang w:eastAsia="zh-CN"/>
        </w:rPr>
        <w:t>（</w:t>
      </w:r>
      <w:r>
        <w:rPr>
          <w:rFonts w:hint="eastAsia" w:ascii="仿宋" w:hAnsi="仿宋" w:eastAsia="仿宋"/>
          <w:sz w:val="24"/>
          <w:lang w:val="en-US" w:eastAsia="zh-CN"/>
        </w:rPr>
        <w:t>6</w:t>
      </w:r>
      <w:r>
        <w:rPr>
          <w:rFonts w:hint="eastAsia" w:ascii="仿宋" w:hAnsi="仿宋" w:eastAsia="仿宋"/>
          <w:sz w:val="24"/>
          <w:lang w:eastAsia="zh-CN"/>
        </w:rPr>
        <w:t>）中标人需在招标文件中明确备件更换价格。</w:t>
      </w:r>
    </w:p>
    <w:p>
      <w:pPr>
        <w:pStyle w:val="6"/>
        <w:spacing w:line="400" w:lineRule="exact"/>
        <w:ind w:firstLine="480"/>
        <w:rPr>
          <w:rFonts w:ascii="仿宋" w:hAnsi="仿宋" w:eastAsia="仿宋"/>
          <w:sz w:val="24"/>
        </w:rPr>
      </w:pPr>
      <w:r>
        <w:rPr>
          <w:rFonts w:hint="eastAsia" w:ascii="仿宋" w:hAnsi="仿宋" w:eastAsia="仿宋"/>
          <w:sz w:val="24"/>
        </w:rPr>
        <w:t>7. 知识产权：</w:t>
      </w:r>
    </w:p>
    <w:p>
      <w:pPr>
        <w:pStyle w:val="6"/>
        <w:spacing w:line="400" w:lineRule="exact"/>
        <w:ind w:firstLine="480"/>
        <w:rPr>
          <w:rFonts w:ascii="仿宋" w:hAnsi="仿宋" w:eastAsia="仿宋"/>
          <w:bCs/>
          <w:sz w:val="24"/>
        </w:rPr>
      </w:pPr>
      <w:r>
        <w:rPr>
          <w:rFonts w:hint="eastAsia" w:ascii="仿宋" w:hAnsi="仿宋" w:eastAsia="仿宋"/>
          <w:sz w:val="24"/>
        </w:rPr>
        <w:t>中标后在本项目合同履行中，若软件系统是为采购人新开发，该软件系统及其源代码、运维文档等知识产权归采购人所有；如果软件系统是在已有产品或中间件基础上进行二次开发，则应向采购人提供二次开发部分相应的开发文档及与基础产品/中间件接口调用的技术文档。</w:t>
      </w:r>
    </w:p>
    <w:p/>
    <w:p>
      <w:pPr>
        <w:pStyle w:val="2"/>
        <w:numPr>
          <w:ilvl w:val="0"/>
          <w:numId w:val="0"/>
        </w:numPr>
        <w:rPr>
          <w:rFonts w:hint="eastAsia"/>
          <w:lang w:eastAsia="zh-CN"/>
        </w:rPr>
      </w:pP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F376C"/>
    <w:multiLevelType w:val="multilevel"/>
    <w:tmpl w:val="069F37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656AF1"/>
    <w:multiLevelType w:val="multilevel"/>
    <w:tmpl w:val="3E656AF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4B"/>
    <w:rsid w:val="00100731"/>
    <w:rsid w:val="001E0DE6"/>
    <w:rsid w:val="002B6AF8"/>
    <w:rsid w:val="003C3840"/>
    <w:rsid w:val="00412E4C"/>
    <w:rsid w:val="005229BE"/>
    <w:rsid w:val="00523E85"/>
    <w:rsid w:val="00565B02"/>
    <w:rsid w:val="0069559D"/>
    <w:rsid w:val="00756210"/>
    <w:rsid w:val="007820BE"/>
    <w:rsid w:val="007D2B4B"/>
    <w:rsid w:val="0081042F"/>
    <w:rsid w:val="00903597"/>
    <w:rsid w:val="00A86154"/>
    <w:rsid w:val="00B2333D"/>
    <w:rsid w:val="00BC1360"/>
    <w:rsid w:val="00C33B3F"/>
    <w:rsid w:val="00CB050E"/>
    <w:rsid w:val="00CB09EE"/>
    <w:rsid w:val="00D34DAA"/>
    <w:rsid w:val="00DD1A47"/>
    <w:rsid w:val="00E27C39"/>
    <w:rsid w:val="00E47577"/>
    <w:rsid w:val="00FC63E1"/>
    <w:rsid w:val="0D7D0092"/>
    <w:rsid w:val="14AB3772"/>
    <w:rsid w:val="17034414"/>
    <w:rsid w:val="1C1B73F4"/>
    <w:rsid w:val="1EE75CB3"/>
    <w:rsid w:val="2022214E"/>
    <w:rsid w:val="25D36CB6"/>
    <w:rsid w:val="279071B5"/>
    <w:rsid w:val="2AA46915"/>
    <w:rsid w:val="2C804AD2"/>
    <w:rsid w:val="356E2833"/>
    <w:rsid w:val="41F92C7C"/>
    <w:rsid w:val="462A6302"/>
    <w:rsid w:val="47E673FB"/>
    <w:rsid w:val="49680B13"/>
    <w:rsid w:val="4B3C2ACB"/>
    <w:rsid w:val="4E27239B"/>
    <w:rsid w:val="52972F91"/>
    <w:rsid w:val="57376FF6"/>
    <w:rsid w:val="58116426"/>
    <w:rsid w:val="5B7D5815"/>
    <w:rsid w:val="5C9B540C"/>
    <w:rsid w:val="5FC44C79"/>
    <w:rsid w:val="622B4D93"/>
    <w:rsid w:val="65586590"/>
    <w:rsid w:val="67070F7D"/>
    <w:rsid w:val="7278587A"/>
    <w:rsid w:val="7306587D"/>
    <w:rsid w:val="7B34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
    <w:qFormat/>
    <w:uiPriority w:val="9"/>
    <w:pPr>
      <w:keepNext/>
      <w:keepLines/>
      <w:spacing w:afterLines="100" w:line="360" w:lineRule="auto"/>
      <w:outlineLvl w:val="0"/>
    </w:pPr>
    <w:rPr>
      <w:rFonts w:ascii="Times New Roman" w:hAnsi="Times New Roman" w:eastAsia="宋体" w:cs="Times New Roman"/>
      <w:b/>
      <w:bCs/>
      <w:kern w:val="44"/>
      <w:sz w:val="36"/>
      <w:szCs w:val="44"/>
    </w:rPr>
  </w:style>
  <w:style w:type="paragraph" w:styleId="5">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rPr>
      <w:rFonts w:ascii="宋体" w:hAnsi="Times New Roman" w:eastAsia="宋体" w:cs="Times New Roman"/>
      <w:kern w:val="0"/>
      <w:sz w:val="34"/>
      <w:szCs w:val="20"/>
    </w:rPr>
  </w:style>
  <w:style w:type="paragraph" w:styleId="3">
    <w:name w:val="Body Text First Indent"/>
    <w:basedOn w:val="2"/>
    <w:qFormat/>
    <w:uiPriority w:val="0"/>
    <w:pPr>
      <w:ind w:firstLine="420" w:firstLineChars="100"/>
    </w:pPr>
  </w:style>
  <w:style w:type="paragraph" w:styleId="6">
    <w:name w:val="Normal Indent"/>
    <w:basedOn w:val="1"/>
    <w:qFormat/>
    <w:uiPriority w:val="0"/>
    <w:pPr>
      <w:ind w:firstLine="200" w:firstLineChars="2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4"/>
    <w:qFormat/>
    <w:uiPriority w:val="9"/>
    <w:rPr>
      <w:rFonts w:ascii="Times New Roman" w:hAnsi="Times New Roman" w:eastAsia="宋体" w:cs="Times New Roman"/>
      <w:b/>
      <w:bCs/>
      <w:kern w:val="44"/>
      <w:sz w:val="36"/>
      <w:szCs w:val="44"/>
    </w:rPr>
  </w:style>
  <w:style w:type="paragraph" w:styleId="15">
    <w:name w:val="List Paragraph"/>
    <w:basedOn w:val="1"/>
    <w:link w:val="16"/>
    <w:qFormat/>
    <w:uiPriority w:val="34"/>
    <w:pPr>
      <w:ind w:firstLine="420" w:firstLineChars="200"/>
    </w:pPr>
    <w:rPr>
      <w:rFonts w:ascii="Calibri" w:hAnsi="Calibri" w:eastAsia="宋体" w:cs="Times New Roman"/>
    </w:rPr>
  </w:style>
  <w:style w:type="character" w:customStyle="1" w:styleId="16">
    <w:name w:val="列出段落 Char"/>
    <w:link w:val="15"/>
    <w:qFormat/>
    <w:uiPriority w:val="34"/>
    <w:rPr>
      <w:rFonts w:ascii="Calibri" w:hAnsi="Calibri" w:eastAsia="宋体" w:cs="Times New Roman"/>
    </w:rPr>
  </w:style>
  <w:style w:type="table" w:customStyle="1" w:styleId="17">
    <w:name w:val="标书网格型表格正文1"/>
    <w:basedOn w:val="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2 Char"/>
    <w:basedOn w:val="11"/>
    <w:link w:val="5"/>
    <w:qFormat/>
    <w:uiPriority w:val="9"/>
    <w:rPr>
      <w:rFonts w:asciiTheme="majorHAnsi" w:hAnsiTheme="majorHAnsi" w:eastAsiaTheme="majorEastAsia" w:cstheme="majorBidi"/>
      <w:b/>
      <w:bCs/>
      <w:sz w:val="32"/>
      <w:szCs w:val="32"/>
    </w:rPr>
  </w:style>
  <w:style w:type="character" w:customStyle="1" w:styleId="19">
    <w:name w:val="正文文本 Char"/>
    <w:basedOn w:val="11"/>
    <w:link w:val="2"/>
    <w:qFormat/>
    <w:uiPriority w:val="0"/>
    <w:rPr>
      <w:rFonts w:ascii="宋体" w:hAnsi="Times New Roman" w:eastAsia="宋体" w:cs="Times New Roman"/>
      <w:kern w:val="0"/>
      <w:sz w:val="34"/>
      <w:szCs w:val="20"/>
    </w:rPr>
  </w:style>
  <w:style w:type="paragraph" w:styleId="20">
    <w:name w:val="Quote"/>
    <w:basedOn w:val="1"/>
    <w:next w:val="1"/>
    <w:link w:val="2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
    <w:name w:val="引用 Char"/>
    <w:basedOn w:val="11"/>
    <w:link w:val="20"/>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1263C-E5A6-49CE-8843-82EB56E51B43}">
  <ds:schemaRefs/>
</ds:datastoreItem>
</file>

<file path=docProps/app.xml><?xml version="1.0" encoding="utf-8"?>
<Properties xmlns="http://schemas.openxmlformats.org/officeDocument/2006/extended-properties" xmlns:vt="http://schemas.openxmlformats.org/officeDocument/2006/docPropsVTypes">
  <Template>Normal</Template>
  <Pages>6</Pages>
  <Words>706</Words>
  <Characters>4026</Characters>
  <Lines>33</Lines>
  <Paragraphs>9</Paragraphs>
  <TotalTime>1</TotalTime>
  <ScaleCrop>false</ScaleCrop>
  <LinksUpToDate>false</LinksUpToDate>
  <CharactersWithSpaces>4723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2022-03-10T03:40:00Z</dcterms:created>
  <dc:creator>肖万隆</dc:creator>
  <cp:lastModifiedBy>在工作之余</cp:lastModifiedBy>
  <cp:lastPrinted>2022-03-11T04:08:00Z</cp:lastPrinted>
  <dcterms:modified xsi:type="dcterms:W3CDTF">2022-03-15T07:34:42Z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B011C89DBF4C426B8E3723718F5E99ED</vt:lpwstr>
  </property>
</Properties>
</file>