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b/>
          <w:sz w:val="36"/>
          <w:lang w:val="en-US" w:eastAsia="zh-CN"/>
        </w:rPr>
        <w:t>内镜室</w:t>
      </w:r>
      <w:bookmarkStart w:id="0" w:name="_GoBack"/>
      <w:bookmarkEnd w:id="0"/>
      <w:r>
        <w:rPr>
          <w:rFonts w:hint="eastAsia"/>
          <w:b/>
          <w:sz w:val="36"/>
        </w:rPr>
        <w:t>随访系统软件</w:t>
      </w:r>
      <w:r>
        <w:rPr>
          <w:rFonts w:hint="eastAsia"/>
          <w:b/>
          <w:sz w:val="36"/>
          <w:lang w:val="en-US" w:eastAsia="zh-CN"/>
        </w:rPr>
        <w:t>需求</w:t>
      </w:r>
    </w:p>
    <w:p>
      <w:pPr>
        <w:pStyle w:val="10"/>
        <w:numPr>
          <w:ilvl w:val="0"/>
          <w:numId w:val="1"/>
        </w:numPr>
        <w:spacing w:before="160" w:line="360" w:lineRule="auto"/>
        <w:ind w:left="448" w:hanging="448"/>
        <w:outlineLvl w:val="0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软件功能要求</w:t>
      </w:r>
    </w:p>
    <w:p>
      <w:pPr>
        <w:widowControl w:val="0"/>
        <w:numPr>
          <w:ilvl w:val="0"/>
          <w:numId w:val="2"/>
        </w:numPr>
        <w:spacing w:after="0" w:line="300" w:lineRule="auto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系统应具备个人中心信息管理、管理我的病人、医生（账号）管理、系统设置等功能；</w:t>
      </w:r>
    </w:p>
    <w:p>
      <w:pPr>
        <w:widowControl w:val="0"/>
        <w:numPr>
          <w:ilvl w:val="0"/>
          <w:numId w:val="2"/>
        </w:numPr>
        <w:spacing w:after="0" w:line="300" w:lineRule="auto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个人中心：应能显示近期我的待办任务数量、我的提醒任务详情、我的待复查任务详情；</w:t>
      </w:r>
    </w:p>
    <w:p>
      <w:pPr>
        <w:widowControl w:val="0"/>
        <w:numPr>
          <w:ilvl w:val="0"/>
          <w:numId w:val="2"/>
        </w:numPr>
        <w:spacing w:after="0" w:line="300" w:lineRule="auto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病人管理：病人信息应包括姓名、性别、电话、住院号、诊断信息、下次通知时间、手术方式等关键信息；应能对病人进行增删改查、搜索、通知后改变状态、结束诊断后存档、历史回顾；提醒规则默认为提前7天提醒，天数可修改；</w:t>
      </w:r>
    </w:p>
    <w:p>
      <w:pPr>
        <w:widowControl w:val="0"/>
        <w:numPr>
          <w:ilvl w:val="0"/>
          <w:numId w:val="2"/>
        </w:numPr>
        <w:spacing w:after="0" w:line="300" w:lineRule="auto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医生（账号）管理：医生信息应包括登录账号、密码、姓名、所在科室、权限等；应能对医生进行增删改查、重置密码等操作；管理员有权限对医生进行权限设置；</w:t>
      </w:r>
    </w:p>
    <w:p>
      <w:pPr>
        <w:widowControl w:val="0"/>
        <w:numPr>
          <w:ilvl w:val="0"/>
          <w:numId w:val="2"/>
        </w:numPr>
        <w:spacing w:after="0" w:line="300" w:lineRule="auto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系统设置：包括科室设置、角色权限设置、诊断信息与手术方式等预设数据。</w:t>
      </w:r>
    </w:p>
    <w:p>
      <w:pPr>
        <w:widowControl w:val="0"/>
        <w:numPr>
          <w:ilvl w:val="0"/>
          <w:numId w:val="2"/>
        </w:numPr>
        <w:spacing w:after="0" w:line="300" w:lineRule="auto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系统功能表如下：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684"/>
        <w:gridCol w:w="1651"/>
        <w:gridCol w:w="2996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shd w:val="clear" w:color="auto" w:fill="D8D8D8" w:themeFill="background1" w:themeFillShade="D9"/>
            <w:vAlign w:val="center"/>
          </w:tcPr>
          <w:p>
            <w:pPr>
              <w:spacing w:after="0" w:line="300" w:lineRule="auto"/>
              <w:jc w:val="center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序号</w:t>
            </w:r>
          </w:p>
        </w:tc>
        <w:tc>
          <w:tcPr>
            <w:tcW w:w="818" w:type="pct"/>
            <w:shd w:val="clear" w:color="auto" w:fill="D8D8D8" w:themeFill="background1" w:themeFillShade="D9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界面</w:t>
            </w:r>
          </w:p>
        </w:tc>
        <w:tc>
          <w:tcPr>
            <w:tcW w:w="802" w:type="pct"/>
            <w:shd w:val="clear" w:color="auto" w:fill="D8D8D8" w:themeFill="background1" w:themeFillShade="D9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区域/分块</w:t>
            </w:r>
          </w:p>
        </w:tc>
        <w:tc>
          <w:tcPr>
            <w:tcW w:w="1455" w:type="pct"/>
            <w:shd w:val="clear" w:color="auto" w:fill="D8D8D8" w:themeFill="background1" w:themeFillShade="D9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操作</w:t>
            </w:r>
          </w:p>
        </w:tc>
        <w:tc>
          <w:tcPr>
            <w:tcW w:w="1581" w:type="pct"/>
            <w:shd w:val="clear" w:color="auto" w:fill="D8D8D8" w:themeFill="background1" w:themeFillShade="D9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内容及功能要求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Merge w:val="restart"/>
            <w:vAlign w:val="center"/>
          </w:tcPr>
          <w:p>
            <w:pPr>
              <w:spacing w:after="0" w:line="300" w:lineRule="auto"/>
              <w:jc w:val="center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sz w:val="22"/>
                <w:szCs w:val="22"/>
              </w:rPr>
              <w:t>1</w:t>
            </w:r>
          </w:p>
        </w:tc>
        <w:tc>
          <w:tcPr>
            <w:tcW w:w="818" w:type="pct"/>
            <w:vMerge w:val="restar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个人中心</w:t>
            </w:r>
          </w:p>
        </w:tc>
        <w:tc>
          <w:tcPr>
            <w:tcW w:w="802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我的待办</w:t>
            </w:r>
          </w:p>
        </w:tc>
        <w:tc>
          <w:tcPr>
            <w:tcW w:w="1455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无</w:t>
            </w:r>
          </w:p>
        </w:tc>
        <w:tc>
          <w:tcPr>
            <w:tcW w:w="1581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大数字醒目提示：今日待提醒（闪烁）、本月待提醒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Merge w:val="continue"/>
            <w:vAlign w:val="center"/>
          </w:tcPr>
          <w:p>
            <w:pPr>
              <w:spacing w:after="0" w:line="300" w:lineRule="auto"/>
              <w:jc w:val="center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18" w:type="pct"/>
            <w:vMerge w:val="continue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我的提醒</w:t>
            </w:r>
          </w:p>
        </w:tc>
        <w:tc>
          <w:tcPr>
            <w:tcW w:w="1455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通知病人后修改病人状态为：“收到通知”</w:t>
            </w:r>
          </w:p>
        </w:tc>
        <w:tc>
          <w:tcPr>
            <w:tcW w:w="1581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待提醒列表：今日提醒、本周提醒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Merge w:val="continue"/>
            <w:vAlign w:val="center"/>
          </w:tcPr>
          <w:p>
            <w:pPr>
              <w:spacing w:after="0" w:line="300" w:lineRule="auto"/>
              <w:jc w:val="center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18" w:type="pct"/>
            <w:vMerge w:val="continue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我的待复查</w:t>
            </w:r>
          </w:p>
        </w:tc>
        <w:tc>
          <w:tcPr>
            <w:tcW w:w="1455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病人复查后：</w:t>
            </w:r>
          </w:p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2"/>
                <w:szCs w:val="22"/>
              </w:rPr>
              <w:t>.</w:t>
            </w: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记录病人病历；</w:t>
            </w:r>
          </w:p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sz w:val="22"/>
                <w:szCs w:val="22"/>
              </w:rPr>
              <w:t>2.</w:t>
            </w: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修改病人下次复查时间</w:t>
            </w:r>
          </w:p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3</w:t>
            </w:r>
            <w:r>
              <w:rPr>
                <w:rFonts w:cs="Times New Roman" w:asciiTheme="minorEastAsia" w:hAnsiTheme="minorEastAsia" w:eastAsiaTheme="minorEastAsia"/>
                <w:sz w:val="22"/>
                <w:szCs w:val="22"/>
              </w:rPr>
              <w:t>.</w:t>
            </w: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终止随访（结束存档）</w:t>
            </w:r>
          </w:p>
        </w:tc>
        <w:tc>
          <w:tcPr>
            <w:tcW w:w="1581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待复查列表：今日待复查、所有待复查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Align w:val="center"/>
          </w:tcPr>
          <w:p>
            <w:pPr>
              <w:spacing w:after="0" w:line="300" w:lineRule="auto"/>
              <w:jc w:val="center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sz w:val="22"/>
                <w:szCs w:val="22"/>
              </w:rPr>
              <w:t>2</w:t>
            </w:r>
          </w:p>
        </w:tc>
        <w:tc>
          <w:tcPr>
            <w:tcW w:w="818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我的病人</w:t>
            </w:r>
          </w:p>
        </w:tc>
        <w:tc>
          <w:tcPr>
            <w:tcW w:w="802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病人列表</w:t>
            </w:r>
          </w:p>
        </w:tc>
        <w:tc>
          <w:tcPr>
            <w:tcW w:w="1455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搜索、增删改查（改包括修改基本信息、病历、是否已通知状态、下次复查时间）、终止随访（结束存档）</w:t>
            </w:r>
          </w:p>
        </w:tc>
        <w:tc>
          <w:tcPr>
            <w:tcW w:w="1581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列出所有病人，或模糊搜索出来的某些病人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Align w:val="center"/>
          </w:tcPr>
          <w:p>
            <w:pPr>
              <w:spacing w:after="0" w:line="300" w:lineRule="auto"/>
              <w:jc w:val="center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sz w:val="22"/>
                <w:szCs w:val="22"/>
              </w:rPr>
              <w:t>3</w:t>
            </w:r>
          </w:p>
        </w:tc>
        <w:tc>
          <w:tcPr>
            <w:tcW w:w="818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历史回顾</w:t>
            </w:r>
          </w:p>
        </w:tc>
        <w:tc>
          <w:tcPr>
            <w:tcW w:w="802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历史病历</w:t>
            </w:r>
          </w:p>
        </w:tc>
        <w:tc>
          <w:tcPr>
            <w:tcW w:w="1455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选择或搜索某个病人，查询其历史诊断信息</w:t>
            </w:r>
          </w:p>
        </w:tc>
        <w:tc>
          <w:tcPr>
            <w:tcW w:w="1581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列出单个所选病人的历史诊断信息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Align w:val="center"/>
          </w:tcPr>
          <w:p>
            <w:pPr>
              <w:spacing w:after="0" w:line="300" w:lineRule="auto"/>
              <w:jc w:val="center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sz w:val="22"/>
                <w:szCs w:val="22"/>
              </w:rPr>
              <w:t>4</w:t>
            </w:r>
          </w:p>
        </w:tc>
        <w:tc>
          <w:tcPr>
            <w:tcW w:w="818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医生管理</w:t>
            </w:r>
          </w:p>
        </w:tc>
        <w:tc>
          <w:tcPr>
            <w:tcW w:w="802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医生列表</w:t>
            </w:r>
          </w:p>
        </w:tc>
        <w:tc>
          <w:tcPr>
            <w:tcW w:w="1455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增删改查、重置密码、权限设置（通过赋予角色设定）</w:t>
            </w:r>
          </w:p>
        </w:tc>
        <w:tc>
          <w:tcPr>
            <w:tcW w:w="1581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系统账号管理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Merge w:val="restart"/>
            <w:vAlign w:val="center"/>
          </w:tcPr>
          <w:p>
            <w:pPr>
              <w:spacing w:after="0" w:line="300" w:lineRule="auto"/>
              <w:jc w:val="center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sz w:val="22"/>
                <w:szCs w:val="22"/>
              </w:rPr>
              <w:t>5</w:t>
            </w:r>
          </w:p>
        </w:tc>
        <w:tc>
          <w:tcPr>
            <w:tcW w:w="818" w:type="pct"/>
            <w:vMerge w:val="restar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系统设置</w:t>
            </w:r>
          </w:p>
        </w:tc>
        <w:tc>
          <w:tcPr>
            <w:tcW w:w="802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科室列表</w:t>
            </w:r>
          </w:p>
        </w:tc>
        <w:tc>
          <w:tcPr>
            <w:tcW w:w="1455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增删改查</w:t>
            </w:r>
          </w:p>
        </w:tc>
        <w:tc>
          <w:tcPr>
            <w:tcW w:w="1581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对科室进行管理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Merge w:val="continue"/>
            <w:vAlign w:val="center"/>
          </w:tcPr>
          <w:p>
            <w:pPr>
              <w:spacing w:after="0" w:line="300" w:lineRule="auto"/>
              <w:jc w:val="center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18" w:type="pct"/>
            <w:vMerge w:val="continue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角色列表</w:t>
            </w:r>
          </w:p>
        </w:tc>
        <w:tc>
          <w:tcPr>
            <w:tcW w:w="1455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增删改查</w:t>
            </w:r>
          </w:p>
        </w:tc>
        <w:tc>
          <w:tcPr>
            <w:tcW w:w="1581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角色原理：权限</w:t>
            </w:r>
            <w:r>
              <w:rPr>
                <w:rFonts w:cs="Times New Roman" w:asciiTheme="minorEastAsia" w:hAnsiTheme="minorEastAsia" w:eastAsiaTheme="minorEastAsia"/>
                <w:sz w:val="22"/>
                <w:szCs w:val="22"/>
              </w:rPr>
              <w:sym w:font="Wingdings" w:char="F0E0"/>
            </w: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角色</w:t>
            </w:r>
            <w:r>
              <w:rPr>
                <w:rFonts w:cs="Times New Roman" w:asciiTheme="minorEastAsia" w:hAnsiTheme="minorEastAsia" w:eastAsiaTheme="minorEastAsia"/>
                <w:sz w:val="22"/>
                <w:szCs w:val="22"/>
              </w:rPr>
              <w:sym w:font="Wingdings" w:char="F0E0"/>
            </w: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用户（权限赋予角色，角色赋予用户，用户即拥有权限）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Merge w:val="continue"/>
            <w:vAlign w:val="center"/>
          </w:tcPr>
          <w:p>
            <w:pPr>
              <w:spacing w:after="0" w:line="300" w:lineRule="auto"/>
              <w:jc w:val="center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18" w:type="pct"/>
            <w:vMerge w:val="continue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数据字典</w:t>
            </w:r>
          </w:p>
        </w:tc>
        <w:tc>
          <w:tcPr>
            <w:tcW w:w="1455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增删改查</w:t>
            </w:r>
          </w:p>
        </w:tc>
        <w:tc>
          <w:tcPr>
            <w:tcW w:w="1581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诊断信息、手术方式的标准预设数据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Merge w:val="continue"/>
            <w:vAlign w:val="center"/>
          </w:tcPr>
          <w:p>
            <w:pPr>
              <w:spacing w:after="0" w:line="300" w:lineRule="auto"/>
              <w:jc w:val="center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18" w:type="pct"/>
            <w:vMerge w:val="continue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提醒规则</w:t>
            </w:r>
          </w:p>
        </w:tc>
        <w:tc>
          <w:tcPr>
            <w:tcW w:w="1455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修改</w:t>
            </w:r>
          </w:p>
        </w:tc>
        <w:tc>
          <w:tcPr>
            <w:tcW w:w="1581" w:type="pct"/>
            <w:vAlign w:val="center"/>
          </w:tcPr>
          <w:p>
            <w:pPr>
              <w:spacing w:after="0" w:line="300" w:lineRule="auto"/>
              <w:rPr>
                <w:rFonts w:cs="Times New Roman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</w:rPr>
              <w:t>设置提前通知的天数</w:t>
            </w:r>
          </w:p>
        </w:tc>
      </w:tr>
    </w:tbl>
    <w:p>
      <w:pPr>
        <w:widowControl w:val="0"/>
        <w:spacing w:after="0" w:line="300" w:lineRule="auto"/>
        <w:jc w:val="both"/>
        <w:rPr>
          <w:rFonts w:asciiTheme="minorEastAsia" w:hAnsiTheme="minorEastAsia"/>
        </w:rPr>
      </w:pPr>
    </w:p>
    <w:p>
      <w:pPr>
        <w:pStyle w:val="10"/>
        <w:numPr>
          <w:ilvl w:val="0"/>
          <w:numId w:val="1"/>
        </w:numPr>
        <w:spacing w:before="160" w:line="360" w:lineRule="auto"/>
        <w:ind w:left="448" w:hanging="448"/>
        <w:outlineLvl w:val="0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实施方案</w:t>
      </w:r>
    </w:p>
    <w:p>
      <w:pPr>
        <w:widowControl w:val="0"/>
        <w:numPr>
          <w:ilvl w:val="0"/>
          <w:numId w:val="3"/>
        </w:numPr>
        <w:spacing w:after="0" w:line="300" w:lineRule="auto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安装部署方式：单机安装部署，各科室根据需要将软件安装在日常使用的个人电脑/工作站之上；</w:t>
      </w:r>
    </w:p>
    <w:p>
      <w:pPr>
        <w:widowControl w:val="0"/>
        <w:numPr>
          <w:ilvl w:val="0"/>
          <w:numId w:val="3"/>
        </w:numPr>
        <w:spacing w:after="0" w:line="300" w:lineRule="auto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系统运行环境要求：</w:t>
      </w:r>
    </w:p>
    <w:p>
      <w:pPr>
        <w:widowControl w:val="0"/>
        <w:numPr>
          <w:ilvl w:val="0"/>
          <w:numId w:val="4"/>
        </w:numPr>
        <w:spacing w:after="0" w:line="300" w:lineRule="auto"/>
        <w:jc w:val="both"/>
      </w:pPr>
      <w:r>
        <w:rPr>
          <w:rFonts w:hint="eastAsia"/>
        </w:rPr>
        <w:t>硬件环境</w:t>
      </w:r>
    </w:p>
    <w:p>
      <w:pPr>
        <w:spacing w:after="0" w:line="300" w:lineRule="auto"/>
        <w:ind w:firstLine="420"/>
      </w:pPr>
      <w:r>
        <w:rPr>
          <w:rFonts w:hint="eastAsia"/>
        </w:rPr>
        <w:t>系统应能运行在以下配置的个人电脑/工作站之上：</w:t>
      </w:r>
    </w:p>
    <w:p>
      <w:pPr>
        <w:pStyle w:val="10"/>
        <w:widowControl w:val="0"/>
        <w:numPr>
          <w:ilvl w:val="0"/>
          <w:numId w:val="5"/>
        </w:numPr>
        <w:spacing w:after="0" w:line="300" w:lineRule="auto"/>
        <w:jc w:val="both"/>
      </w:pPr>
      <w:r>
        <w:rPr>
          <w:rFonts w:hint="eastAsia"/>
        </w:rPr>
        <w:t xml:space="preserve">内存 ≥ </w:t>
      </w:r>
      <w:r>
        <w:t>4</w:t>
      </w:r>
      <w:r>
        <w:rPr>
          <w:rFonts w:hint="eastAsia"/>
        </w:rPr>
        <w:t>GB</w:t>
      </w:r>
    </w:p>
    <w:p>
      <w:pPr>
        <w:pStyle w:val="10"/>
        <w:widowControl w:val="0"/>
        <w:numPr>
          <w:ilvl w:val="0"/>
          <w:numId w:val="5"/>
        </w:numPr>
        <w:spacing w:after="0" w:line="300" w:lineRule="auto"/>
        <w:jc w:val="both"/>
      </w:pPr>
      <w:r>
        <w:rPr>
          <w:rFonts w:hint="eastAsia"/>
        </w:rPr>
        <w:t>CPU</w:t>
      </w:r>
      <w:r>
        <w:rPr>
          <w:rFonts w:hint="eastAsia"/>
          <w:szCs w:val="18"/>
        </w:rPr>
        <w:t xml:space="preserve">主频 </w:t>
      </w:r>
      <w:r>
        <w:rPr>
          <w:rFonts w:hint="eastAsia"/>
        </w:rPr>
        <w:t xml:space="preserve">≥ </w:t>
      </w:r>
      <w:r>
        <w:rPr>
          <w:szCs w:val="18"/>
        </w:rPr>
        <w:t>2</w:t>
      </w:r>
      <w:r>
        <w:rPr>
          <w:rFonts w:hint="eastAsia"/>
          <w:szCs w:val="18"/>
        </w:rPr>
        <w:t>.</w:t>
      </w:r>
      <w:r>
        <w:rPr>
          <w:szCs w:val="18"/>
        </w:rPr>
        <w:t>5GHz</w:t>
      </w:r>
    </w:p>
    <w:p>
      <w:pPr>
        <w:pStyle w:val="10"/>
        <w:widowControl w:val="0"/>
        <w:numPr>
          <w:ilvl w:val="0"/>
          <w:numId w:val="5"/>
        </w:numPr>
        <w:spacing w:after="0" w:line="300" w:lineRule="auto"/>
        <w:jc w:val="both"/>
      </w:pPr>
      <w:r>
        <w:rPr>
          <w:rFonts w:hint="eastAsia" w:ascii="宋体" w:hAnsi="宋体"/>
          <w:szCs w:val="18"/>
        </w:rPr>
        <w:t xml:space="preserve">硬盘 </w:t>
      </w:r>
      <w:r>
        <w:rPr>
          <w:rFonts w:hint="eastAsia"/>
        </w:rPr>
        <w:t xml:space="preserve">≥ </w:t>
      </w:r>
      <w:r>
        <w:rPr>
          <w:szCs w:val="18"/>
        </w:rPr>
        <w:t>500G</w:t>
      </w:r>
    </w:p>
    <w:p>
      <w:pPr>
        <w:widowControl w:val="0"/>
        <w:numPr>
          <w:ilvl w:val="0"/>
          <w:numId w:val="4"/>
        </w:numPr>
        <w:spacing w:after="0" w:line="300" w:lineRule="auto"/>
        <w:jc w:val="both"/>
      </w:pPr>
      <w:r>
        <w:rPr>
          <w:rFonts w:hint="eastAsia"/>
        </w:rPr>
        <w:t>操作系统</w:t>
      </w:r>
    </w:p>
    <w:p>
      <w:pPr>
        <w:spacing w:after="0" w:line="300" w:lineRule="auto"/>
        <w:ind w:firstLine="42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系统应能运行于Windows 7</w:t>
      </w:r>
      <w:r>
        <w:rPr>
          <w:rFonts w:asciiTheme="minorEastAsia" w:hAnsiTheme="minorEastAsia"/>
        </w:rPr>
        <w:t xml:space="preserve"> / 10</w:t>
      </w:r>
      <w:r>
        <w:rPr>
          <w:rFonts w:hint="eastAsia" w:asciiTheme="minorEastAsia" w:hAnsiTheme="minorEastAsia"/>
        </w:rPr>
        <w:t>操作系统之上。</w:t>
      </w:r>
    </w:p>
    <w:p>
      <w:pPr>
        <w:widowControl w:val="0"/>
        <w:numPr>
          <w:ilvl w:val="0"/>
          <w:numId w:val="4"/>
        </w:numPr>
        <w:spacing w:after="0" w:line="300" w:lineRule="auto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运行模式</w:t>
      </w:r>
    </w:p>
    <w:p>
      <w:pPr>
        <w:spacing w:after="0" w:line="300" w:lineRule="auto"/>
        <w:ind w:left="42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系统应采用C</w:t>
      </w:r>
      <w:r>
        <w:rPr>
          <w:rFonts w:asciiTheme="minorEastAsia" w:hAnsiTheme="minorEastAsia"/>
        </w:rPr>
        <w:t>/S</w:t>
      </w:r>
      <w:r>
        <w:rPr>
          <w:rFonts w:hint="eastAsia" w:asciiTheme="minorEastAsia" w:hAnsiTheme="minorEastAsia"/>
        </w:rPr>
        <w:t>架构模式，单机模式运行，保证系统运行时的响应速度。</w:t>
      </w:r>
    </w:p>
    <w:p>
      <w:pPr>
        <w:widowControl w:val="0"/>
        <w:numPr>
          <w:ilvl w:val="0"/>
          <w:numId w:val="3"/>
        </w:numPr>
        <w:spacing w:after="0" w:line="300" w:lineRule="auto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影响范围：安装过程中，应确保对现在使用的系统无任何影响；</w:t>
      </w:r>
    </w:p>
    <w:p>
      <w:pPr>
        <w:widowControl w:val="0"/>
        <w:numPr>
          <w:ilvl w:val="0"/>
          <w:numId w:val="3"/>
        </w:numPr>
        <w:spacing w:after="0" w:line="300" w:lineRule="auto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操作界面：系统操作应简单方便，信息直观呈现，无需培训即可上手使用，所见即所得；</w:t>
      </w:r>
    </w:p>
    <w:p>
      <w:pPr>
        <w:widowControl w:val="0"/>
        <w:numPr>
          <w:ilvl w:val="0"/>
          <w:numId w:val="3"/>
        </w:numPr>
        <w:spacing w:after="0" w:line="300" w:lineRule="auto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软件维护：无需专人管理，软件维护方便，后期根据业务需要可扩展到网络版本，现有系统产生的基础数据和过程数据可复用；</w:t>
      </w:r>
    </w:p>
    <w:p>
      <w:pPr>
        <w:widowControl w:val="0"/>
        <w:numPr>
          <w:ilvl w:val="0"/>
          <w:numId w:val="3"/>
        </w:numPr>
        <w:spacing w:after="0" w:line="300" w:lineRule="auto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实施周期：软件采购周期</w:t>
      </w:r>
      <w:r>
        <w:rPr>
          <w:rFonts w:asciiTheme="minorEastAsia" w:hAnsiTheme="minorEastAsia"/>
        </w:rPr>
        <w:t>5</w:t>
      </w:r>
      <w:r>
        <w:rPr>
          <w:rFonts w:hint="eastAsia" w:asciiTheme="minorEastAsia" w:hAnsiTheme="minorEastAsia"/>
        </w:rPr>
        <w:t>天、软件服务商安装部署上线时间</w:t>
      </w:r>
      <w:r>
        <w:rPr>
          <w:rFonts w:asciiTheme="minorEastAsia" w:hAnsiTheme="minorEastAsia"/>
        </w:rPr>
        <w:t>1</w:t>
      </w:r>
      <w:r>
        <w:rPr>
          <w:rFonts w:hint="eastAsia" w:asciiTheme="minorEastAsia" w:hAnsiTheme="minorEastAsia"/>
        </w:rPr>
        <w:t>天、软件培训时间1天、软件交付验收周期5天，合计1</w:t>
      </w:r>
      <w:r>
        <w:rPr>
          <w:rFonts w:asciiTheme="minorEastAsia" w:hAnsiTheme="minorEastAsia"/>
        </w:rPr>
        <w:t>1</w:t>
      </w:r>
      <w:r>
        <w:rPr>
          <w:rFonts w:hint="eastAsia" w:asciiTheme="minorEastAsia" w:hAnsiTheme="minorEastAsia"/>
        </w:rPr>
        <w:t>天。</w:t>
      </w:r>
    </w:p>
    <w:sectPr>
      <w:headerReference r:id="rId5" w:type="default"/>
      <w:footerReference r:id="rId6" w:type="default"/>
      <w:pgSz w:w="12240" w:h="15840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6876414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>
            <w:pPr>
              <w:pStyle w:val="2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both"/>
    </w:pPr>
    <w: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20165"/>
    <w:multiLevelType w:val="multilevel"/>
    <w:tmpl w:val="00020165"/>
    <w:lvl w:ilvl="0" w:tentative="0">
      <w:start w:val="1"/>
      <w:numFmt w:val="bullet"/>
      <w:suff w:val="space"/>
      <w:lvlText w:val=""/>
      <w:lvlJc w:val="left"/>
      <w:pPr>
        <w:ind w:left="1140" w:hanging="720"/>
      </w:pPr>
      <w:rPr>
        <w:rFonts w:hint="default" w:ascii="Wingdings" w:hAnsi="Wingdings"/>
      </w:rPr>
    </w:lvl>
    <w:lvl w:ilvl="1" w:tentative="0">
      <w:start w:val="1"/>
      <w:numFmt w:val="lowerLetter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2F77288"/>
    <w:multiLevelType w:val="multilevel"/>
    <w:tmpl w:val="02F77288"/>
    <w:lvl w:ilvl="0" w:tentative="0">
      <w:start w:val="1"/>
      <w:numFmt w:val="japaneseCounting"/>
      <w:lvlText w:val="%1．"/>
      <w:lvlJc w:val="left"/>
      <w:pPr>
        <w:ind w:left="450" w:hanging="450"/>
      </w:pPr>
      <w:rPr>
        <w:rFonts w:hint="default"/>
        <w:lang w:val="en-US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4C5EEA"/>
    <w:multiLevelType w:val="multilevel"/>
    <w:tmpl w:val="0D4C5EE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3">
    <w:nsid w:val="5CE509E6"/>
    <w:multiLevelType w:val="multilevel"/>
    <w:tmpl w:val="5CE509E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4">
    <w:nsid w:val="792711C3"/>
    <w:multiLevelType w:val="multilevel"/>
    <w:tmpl w:val="792711C3"/>
    <w:lvl w:ilvl="0" w:tentative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2NGZhYjVkZjk3MjkyYTg5MDliZTZlM2I1YzY3ZWMifQ=="/>
  </w:docVars>
  <w:rsids>
    <w:rsidRoot w:val="00E23B06"/>
    <w:rsid w:val="0004451A"/>
    <w:rsid w:val="00054CB6"/>
    <w:rsid w:val="00055CF9"/>
    <w:rsid w:val="00055EDA"/>
    <w:rsid w:val="000957A5"/>
    <w:rsid w:val="000A1F51"/>
    <w:rsid w:val="000E5F69"/>
    <w:rsid w:val="00133C57"/>
    <w:rsid w:val="00154FCE"/>
    <w:rsid w:val="001843FB"/>
    <w:rsid w:val="00184687"/>
    <w:rsid w:val="00193732"/>
    <w:rsid w:val="001A3CCD"/>
    <w:rsid w:val="001C5CBA"/>
    <w:rsid w:val="001E2DB5"/>
    <w:rsid w:val="00214F41"/>
    <w:rsid w:val="0024606C"/>
    <w:rsid w:val="002819AF"/>
    <w:rsid w:val="002963CD"/>
    <w:rsid w:val="002C2DA3"/>
    <w:rsid w:val="00317FE0"/>
    <w:rsid w:val="00337EBB"/>
    <w:rsid w:val="00350B9D"/>
    <w:rsid w:val="00370FBB"/>
    <w:rsid w:val="00371A35"/>
    <w:rsid w:val="00372B7C"/>
    <w:rsid w:val="00373290"/>
    <w:rsid w:val="00391214"/>
    <w:rsid w:val="003F62D9"/>
    <w:rsid w:val="00402313"/>
    <w:rsid w:val="00422A3F"/>
    <w:rsid w:val="00425091"/>
    <w:rsid w:val="004401E7"/>
    <w:rsid w:val="004821B9"/>
    <w:rsid w:val="00486803"/>
    <w:rsid w:val="0049749C"/>
    <w:rsid w:val="004B6A68"/>
    <w:rsid w:val="00516581"/>
    <w:rsid w:val="00527C5E"/>
    <w:rsid w:val="005421A5"/>
    <w:rsid w:val="00547C8E"/>
    <w:rsid w:val="005538D0"/>
    <w:rsid w:val="00565919"/>
    <w:rsid w:val="005715BA"/>
    <w:rsid w:val="00571A62"/>
    <w:rsid w:val="005961AD"/>
    <w:rsid w:val="005D1206"/>
    <w:rsid w:val="005D5C36"/>
    <w:rsid w:val="005D6994"/>
    <w:rsid w:val="005D7D43"/>
    <w:rsid w:val="006160D5"/>
    <w:rsid w:val="00622008"/>
    <w:rsid w:val="00667169"/>
    <w:rsid w:val="006A3997"/>
    <w:rsid w:val="006B2FC7"/>
    <w:rsid w:val="006B502A"/>
    <w:rsid w:val="006C5594"/>
    <w:rsid w:val="0073185C"/>
    <w:rsid w:val="007322A2"/>
    <w:rsid w:val="0073250C"/>
    <w:rsid w:val="007420FA"/>
    <w:rsid w:val="00752B7D"/>
    <w:rsid w:val="00753786"/>
    <w:rsid w:val="007A61FA"/>
    <w:rsid w:val="007E266C"/>
    <w:rsid w:val="008523E8"/>
    <w:rsid w:val="00880D61"/>
    <w:rsid w:val="008829B6"/>
    <w:rsid w:val="008A786C"/>
    <w:rsid w:val="008B30EA"/>
    <w:rsid w:val="008B343F"/>
    <w:rsid w:val="008B442A"/>
    <w:rsid w:val="008D2E65"/>
    <w:rsid w:val="008D3009"/>
    <w:rsid w:val="008E2464"/>
    <w:rsid w:val="008E7CF0"/>
    <w:rsid w:val="00906E0F"/>
    <w:rsid w:val="00911B9B"/>
    <w:rsid w:val="00913445"/>
    <w:rsid w:val="00922560"/>
    <w:rsid w:val="009225BD"/>
    <w:rsid w:val="00932F4E"/>
    <w:rsid w:val="009637C5"/>
    <w:rsid w:val="00996493"/>
    <w:rsid w:val="009C02C4"/>
    <w:rsid w:val="009E0EBE"/>
    <w:rsid w:val="00A24665"/>
    <w:rsid w:val="00A53BC7"/>
    <w:rsid w:val="00A5649A"/>
    <w:rsid w:val="00A860F2"/>
    <w:rsid w:val="00A91561"/>
    <w:rsid w:val="00AA10EB"/>
    <w:rsid w:val="00AA6B99"/>
    <w:rsid w:val="00AB4923"/>
    <w:rsid w:val="00AC0817"/>
    <w:rsid w:val="00AC5DB2"/>
    <w:rsid w:val="00AF343C"/>
    <w:rsid w:val="00B21A92"/>
    <w:rsid w:val="00B2637A"/>
    <w:rsid w:val="00B34E6F"/>
    <w:rsid w:val="00B421D9"/>
    <w:rsid w:val="00B44350"/>
    <w:rsid w:val="00B75F0D"/>
    <w:rsid w:val="00B85743"/>
    <w:rsid w:val="00B91A1F"/>
    <w:rsid w:val="00BB64B7"/>
    <w:rsid w:val="00BD1E6C"/>
    <w:rsid w:val="00C11300"/>
    <w:rsid w:val="00C213E8"/>
    <w:rsid w:val="00C22A28"/>
    <w:rsid w:val="00C256EE"/>
    <w:rsid w:val="00C33209"/>
    <w:rsid w:val="00C53650"/>
    <w:rsid w:val="00C64A30"/>
    <w:rsid w:val="00CA756C"/>
    <w:rsid w:val="00CC48CD"/>
    <w:rsid w:val="00CC4AAB"/>
    <w:rsid w:val="00D21120"/>
    <w:rsid w:val="00D71765"/>
    <w:rsid w:val="00D84C5E"/>
    <w:rsid w:val="00DB5A4F"/>
    <w:rsid w:val="00DD4CF6"/>
    <w:rsid w:val="00DE4597"/>
    <w:rsid w:val="00DF3489"/>
    <w:rsid w:val="00DF39D9"/>
    <w:rsid w:val="00E10ECA"/>
    <w:rsid w:val="00E21350"/>
    <w:rsid w:val="00E23B06"/>
    <w:rsid w:val="00E35B19"/>
    <w:rsid w:val="00E45D17"/>
    <w:rsid w:val="00E5290D"/>
    <w:rsid w:val="00E822ED"/>
    <w:rsid w:val="00E919A2"/>
    <w:rsid w:val="00EA3E64"/>
    <w:rsid w:val="00EC0FC5"/>
    <w:rsid w:val="00EC597F"/>
    <w:rsid w:val="00ED0268"/>
    <w:rsid w:val="00EE635D"/>
    <w:rsid w:val="00F069D3"/>
    <w:rsid w:val="00F07A73"/>
    <w:rsid w:val="00F43A65"/>
    <w:rsid w:val="00F83C93"/>
    <w:rsid w:val="00F90D5B"/>
    <w:rsid w:val="00FC02BF"/>
    <w:rsid w:val="00FD4CFF"/>
    <w:rsid w:val="2DB87198"/>
    <w:rsid w:val="2ED74792"/>
    <w:rsid w:val="32902492"/>
    <w:rsid w:val="35E06A05"/>
    <w:rsid w:val="3F375F35"/>
    <w:rsid w:val="47F61006"/>
    <w:rsid w:val="49267254"/>
    <w:rsid w:val="561D19DF"/>
    <w:rsid w:val="5C8207EE"/>
    <w:rsid w:val="7D92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">
    <w:name w:val="Table Grid"/>
    <w:basedOn w:val="5"/>
    <w:uiPriority w:val="0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</w:style>
  <w:style w:type="character" w:customStyle="1" w:styleId="9">
    <w:name w:val="页脚 字符"/>
    <w:basedOn w:val="7"/>
    <w:link w:val="2"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843D2-223B-4FBE-B66E-258768AEE7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szrk</Company>
  <Pages>2</Pages>
  <Words>1046</Words>
  <Characters>1071</Characters>
  <Lines>14</Lines>
  <Paragraphs>4</Paragraphs>
  <TotalTime>256</TotalTime>
  <ScaleCrop>false</ScaleCrop>
  <LinksUpToDate>false</LinksUpToDate>
  <CharactersWithSpaces>1080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2022-10-13T07:19:00Z</dcterms:created>
  <dc:creator>Hlp</dc:creator>
  <cp:lastModifiedBy>余伟</cp:lastModifiedBy>
  <dcterms:modified xsi:type="dcterms:W3CDTF">2022-11-10T08:27:19Z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595019D4442F42419D4EA7B511FC93C6</vt:lpwstr>
  </property>
</Properties>
</file>