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lang w:val="en-US" w:eastAsia="zh-CN"/>
        </w:rPr>
      </w:pPr>
      <w:r>
        <w:rPr>
          <w:rFonts w:hint="eastAsia"/>
          <w:b/>
          <w:bCs/>
        </w:rPr>
        <w:t>排队叫号系统维保服务</w:t>
      </w:r>
      <w:r>
        <w:rPr>
          <w:rFonts w:hint="eastAsia"/>
          <w:b/>
          <w:bCs/>
          <w:lang w:val="en-US" w:eastAsia="zh-CN"/>
        </w:rPr>
        <w:t>需求</w:t>
      </w:r>
    </w:p>
    <w:p>
      <w:pPr>
        <w:spacing w:line="360" w:lineRule="auto"/>
        <w:ind w:firstLine="960" w:firstLineChars="400"/>
        <w:jc w:val="left"/>
        <w:rPr>
          <w:rFonts w:ascii="仿宋" w:hAnsi="仿宋" w:eastAsia="仿宋"/>
          <w:sz w:val="24"/>
          <w:szCs w:val="24"/>
        </w:rPr>
      </w:pPr>
      <w:r>
        <w:rPr>
          <w:rFonts w:hint="eastAsia" w:ascii="仿宋" w:hAnsi="仿宋" w:eastAsia="仿宋"/>
          <w:sz w:val="24"/>
          <w:szCs w:val="24"/>
          <w:lang w:val="en-US" w:eastAsia="zh-CN"/>
        </w:rPr>
        <w:t>一、</w:t>
      </w:r>
      <w:r>
        <w:rPr>
          <w:rFonts w:hint="eastAsia" w:ascii="仿宋" w:hAnsi="仿宋" w:eastAsia="仿宋"/>
          <w:sz w:val="24"/>
          <w:szCs w:val="24"/>
        </w:rPr>
        <w:t>产品清单如下：</w:t>
      </w:r>
    </w:p>
    <w:tbl>
      <w:tblPr>
        <w:tblStyle w:val="5"/>
        <w:tblW w:w="0" w:type="auto"/>
        <w:tblInd w:w="113" w:type="dxa"/>
        <w:tblLayout w:type="autofit"/>
        <w:tblCellMar>
          <w:top w:w="0" w:type="dxa"/>
          <w:left w:w="108" w:type="dxa"/>
          <w:bottom w:w="0" w:type="dxa"/>
          <w:right w:w="108" w:type="dxa"/>
        </w:tblCellMar>
      </w:tblPr>
      <w:tblGrid>
        <w:gridCol w:w="599"/>
        <w:gridCol w:w="2937"/>
        <w:gridCol w:w="1581"/>
        <w:gridCol w:w="600"/>
        <w:gridCol w:w="564"/>
        <w:gridCol w:w="2047"/>
      </w:tblGrid>
      <w:tr>
        <w:tblPrEx>
          <w:tblCellMar>
            <w:top w:w="0" w:type="dxa"/>
            <w:left w:w="108" w:type="dxa"/>
            <w:bottom w:w="0" w:type="dxa"/>
            <w:right w:w="108" w:type="dxa"/>
          </w:tblCellMar>
        </w:tblPrEx>
        <w:trPr>
          <w:trHeight w:val="485"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序号</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产品名称</w:t>
            </w:r>
          </w:p>
        </w:tc>
        <w:tc>
          <w:tcPr>
            <w:tcW w:w="1549"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型号</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数量</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单位</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备注</w:t>
            </w:r>
          </w:p>
        </w:tc>
      </w:tr>
      <w:tr>
        <w:tblPrEx>
          <w:tblCellMar>
            <w:top w:w="0" w:type="dxa"/>
            <w:left w:w="108" w:type="dxa"/>
            <w:bottom w:w="0" w:type="dxa"/>
            <w:right w:w="108" w:type="dxa"/>
          </w:tblCellMar>
        </w:tblPrEx>
        <w:trPr>
          <w:trHeight w:val="684"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1</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网络液晶一体机</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LED19-MSPAD-H</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46</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台</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门口叫号屏</w:t>
            </w:r>
          </w:p>
        </w:tc>
      </w:tr>
      <w:tr>
        <w:tblPrEx>
          <w:tblCellMar>
            <w:top w:w="0" w:type="dxa"/>
            <w:left w:w="108" w:type="dxa"/>
            <w:bottom w:w="0" w:type="dxa"/>
            <w:right w:w="108" w:type="dxa"/>
          </w:tblCellMar>
        </w:tblPrEx>
        <w:trPr>
          <w:trHeight w:val="684"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2</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网络液晶一体机</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LED55-MSTV-L</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2</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台</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55寸落地式屏，用于交互式</w:t>
            </w:r>
          </w:p>
        </w:tc>
      </w:tr>
      <w:tr>
        <w:tblPrEx>
          <w:tblCellMar>
            <w:top w:w="0" w:type="dxa"/>
            <w:left w:w="108" w:type="dxa"/>
            <w:bottom w:w="0" w:type="dxa"/>
            <w:right w:w="108" w:type="dxa"/>
          </w:tblCellMar>
        </w:tblPrEx>
        <w:trPr>
          <w:trHeight w:val="598"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3</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炫彩之星终端</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H-BOX-H</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6</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台</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配合大屏使用的机顶盒</w:t>
            </w:r>
          </w:p>
        </w:tc>
      </w:tr>
      <w:tr>
        <w:tblPrEx>
          <w:tblCellMar>
            <w:top w:w="0" w:type="dxa"/>
            <w:left w:w="108" w:type="dxa"/>
            <w:bottom w:w="0" w:type="dxa"/>
            <w:right w:w="108" w:type="dxa"/>
          </w:tblCellMar>
        </w:tblPrEx>
        <w:trPr>
          <w:trHeight w:val="598"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4</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多媒体医疗导引系统管理平台V2.0</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V2.0</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1</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套</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p>
        </w:tc>
      </w:tr>
      <w:tr>
        <w:tblPrEx>
          <w:tblCellMar>
            <w:top w:w="0" w:type="dxa"/>
            <w:left w:w="108" w:type="dxa"/>
            <w:bottom w:w="0" w:type="dxa"/>
            <w:right w:w="108" w:type="dxa"/>
          </w:tblCellMar>
        </w:tblPrEx>
        <w:trPr>
          <w:trHeight w:val="598"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5</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多媒体信息发布系统V7.2</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V7.2</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1</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套</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p>
        </w:tc>
      </w:tr>
      <w:tr>
        <w:tblPrEx>
          <w:tblCellMar>
            <w:top w:w="0" w:type="dxa"/>
            <w:left w:w="108" w:type="dxa"/>
            <w:bottom w:w="0" w:type="dxa"/>
            <w:right w:w="108" w:type="dxa"/>
          </w:tblCellMar>
        </w:tblPrEx>
        <w:trPr>
          <w:trHeight w:val="598"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6</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交互式管理系统V1.0</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V1.0</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1</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套</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p>
        </w:tc>
      </w:tr>
      <w:tr>
        <w:tblPrEx>
          <w:tblCellMar>
            <w:top w:w="0" w:type="dxa"/>
            <w:left w:w="108" w:type="dxa"/>
            <w:bottom w:w="0" w:type="dxa"/>
            <w:right w:w="108" w:type="dxa"/>
          </w:tblCellMar>
        </w:tblPrEx>
        <w:trPr>
          <w:trHeight w:val="598" w:hRule="atLeast"/>
        </w:trPr>
        <w:tc>
          <w:tcPr>
            <w:tcW w:w="59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7</w:t>
            </w:r>
          </w:p>
        </w:tc>
        <w:tc>
          <w:tcPr>
            <w:tcW w:w="293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HIS系统接口开发</w:t>
            </w:r>
          </w:p>
        </w:tc>
        <w:tc>
          <w:tcPr>
            <w:tcW w:w="1549" w:type="dxa"/>
            <w:tcBorders>
              <w:top w:val="single" w:color="auto" w:sz="4" w:space="0"/>
              <w:left w:val="nil"/>
              <w:bottom w:val="single" w:color="auto" w:sz="4" w:space="0"/>
              <w:right w:val="single" w:color="auto" w:sz="4" w:space="0"/>
            </w:tcBorders>
            <w:vAlign w:val="center"/>
          </w:tcPr>
          <w:p>
            <w:pPr>
              <w:rPr>
                <w:rFonts w:ascii="仿宋" w:hAnsi="仿宋" w:eastAsia="仿宋"/>
                <w:sz w:val="21"/>
                <w:szCs w:val="21"/>
              </w:rPr>
            </w:pPr>
            <w:r>
              <w:rPr>
                <w:rFonts w:hint="eastAsia" w:ascii="仿宋" w:hAnsi="仿宋" w:eastAsia="仿宋"/>
                <w:sz w:val="21"/>
                <w:szCs w:val="21"/>
              </w:rPr>
              <w:t>S-HIS</w:t>
            </w:r>
          </w:p>
        </w:tc>
        <w:tc>
          <w:tcPr>
            <w:tcW w:w="600"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1</w:t>
            </w:r>
          </w:p>
        </w:tc>
        <w:tc>
          <w:tcPr>
            <w:tcW w:w="564"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r>
              <w:rPr>
                <w:rFonts w:hint="eastAsia" w:ascii="仿宋" w:hAnsi="仿宋" w:eastAsia="仿宋"/>
                <w:sz w:val="21"/>
                <w:szCs w:val="21"/>
              </w:rPr>
              <w:t>套</w:t>
            </w:r>
          </w:p>
        </w:tc>
        <w:tc>
          <w:tcPr>
            <w:tcW w:w="2047" w:type="dxa"/>
            <w:tcBorders>
              <w:top w:val="single" w:color="auto" w:sz="4" w:space="0"/>
              <w:left w:val="nil"/>
              <w:bottom w:val="single" w:color="auto" w:sz="4" w:space="0"/>
              <w:right w:val="single" w:color="auto" w:sz="4" w:space="0"/>
            </w:tcBorders>
            <w:vAlign w:val="center"/>
          </w:tcPr>
          <w:p>
            <w:pPr>
              <w:widowControl/>
              <w:rPr>
                <w:rFonts w:ascii="仿宋" w:hAnsi="仿宋" w:eastAsia="仿宋"/>
                <w:sz w:val="21"/>
                <w:szCs w:val="21"/>
              </w:rPr>
            </w:pPr>
          </w:p>
        </w:tc>
      </w:tr>
    </w:tbl>
    <w:p>
      <w:pPr>
        <w:spacing w:line="360" w:lineRule="auto"/>
        <w:jc w:val="left"/>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第</w:t>
      </w:r>
      <w:r>
        <w:rPr>
          <w:rFonts w:hint="eastAsia" w:ascii="仿宋" w:hAnsi="仿宋" w:eastAsia="仿宋"/>
          <w:sz w:val="24"/>
          <w:szCs w:val="24"/>
          <w:lang w:val="en-US" w:eastAsia="zh-CN"/>
        </w:rPr>
        <w:t>二</w:t>
      </w:r>
      <w:r>
        <w:rPr>
          <w:rFonts w:hint="eastAsia" w:ascii="仿宋" w:hAnsi="仿宋" w:eastAsia="仿宋"/>
          <w:sz w:val="24"/>
          <w:szCs w:val="24"/>
        </w:rPr>
        <w:t>条</w:t>
      </w:r>
      <w:r>
        <w:rPr>
          <w:rFonts w:hint="eastAsia" w:ascii="仿宋" w:hAnsi="仿宋" w:eastAsia="仿宋"/>
          <w:sz w:val="24"/>
          <w:szCs w:val="24"/>
        </w:rPr>
        <w:tab/>
      </w:r>
      <w:r>
        <w:rPr>
          <w:rFonts w:hint="eastAsia" w:ascii="仿宋" w:hAnsi="仿宋" w:eastAsia="仿宋"/>
          <w:sz w:val="24"/>
          <w:szCs w:val="24"/>
        </w:rPr>
        <w:t>服务内容与质量标准</w:t>
      </w:r>
      <w:bookmarkStart w:id="0" w:name="_GoBack"/>
      <w:bookmarkEnd w:id="0"/>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lang w:eastAsia="zh-CN"/>
        </w:rPr>
        <w:t>服务商</w:t>
      </w:r>
      <w:r>
        <w:rPr>
          <w:rFonts w:hint="eastAsia" w:ascii="仿宋" w:hAnsi="仿宋" w:eastAsia="仿宋"/>
          <w:sz w:val="24"/>
          <w:szCs w:val="24"/>
        </w:rPr>
        <w:t>提供服务电话，以便</w:t>
      </w:r>
      <w:r>
        <w:rPr>
          <w:rFonts w:hint="eastAsia" w:ascii="仿宋" w:hAnsi="仿宋" w:eastAsia="仿宋"/>
          <w:sz w:val="24"/>
          <w:szCs w:val="24"/>
          <w:lang w:eastAsia="zh-CN"/>
        </w:rPr>
        <w:t>医院</w:t>
      </w:r>
      <w:r>
        <w:rPr>
          <w:rFonts w:hint="eastAsia" w:ascii="仿宋" w:hAnsi="仿宋" w:eastAsia="仿宋"/>
          <w:sz w:val="24"/>
          <w:szCs w:val="24"/>
        </w:rPr>
        <w:t>能致电查询有关多媒体医疗导引系统软件应用之问题及疑难，协助</w:t>
      </w:r>
      <w:r>
        <w:rPr>
          <w:rFonts w:hint="eastAsia" w:ascii="仿宋" w:hAnsi="仿宋" w:eastAsia="仿宋"/>
          <w:sz w:val="24"/>
          <w:szCs w:val="24"/>
          <w:lang w:eastAsia="zh-CN"/>
        </w:rPr>
        <w:t>医院</w:t>
      </w:r>
      <w:r>
        <w:rPr>
          <w:rFonts w:hint="eastAsia" w:ascii="仿宋" w:hAnsi="仿宋" w:eastAsia="仿宋"/>
          <w:sz w:val="24"/>
          <w:szCs w:val="24"/>
        </w:rPr>
        <w:t>建立远程维护，及时处理软件系统发生的问题。</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lang w:eastAsia="zh-CN"/>
        </w:rPr>
        <w:t>服务商</w:t>
      </w:r>
      <w:r>
        <w:rPr>
          <w:rFonts w:hint="eastAsia" w:ascii="仿宋" w:hAnsi="仿宋" w:eastAsia="仿宋"/>
          <w:sz w:val="24"/>
          <w:szCs w:val="24"/>
        </w:rPr>
        <w:t>在服务期限内，为</w:t>
      </w:r>
      <w:r>
        <w:rPr>
          <w:rFonts w:hint="eastAsia" w:ascii="仿宋" w:hAnsi="仿宋" w:eastAsia="仿宋"/>
          <w:sz w:val="24"/>
          <w:szCs w:val="24"/>
          <w:lang w:eastAsia="zh-CN"/>
        </w:rPr>
        <w:t>医院</w:t>
      </w:r>
      <w:r>
        <w:rPr>
          <w:rFonts w:hint="eastAsia" w:ascii="仿宋" w:hAnsi="仿宋" w:eastAsia="仿宋"/>
          <w:sz w:val="24"/>
          <w:szCs w:val="24"/>
        </w:rPr>
        <w:t>提供远程技术支持服务，必要时候提供上门服务；</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rPr>
        <w:t>在未取得</w:t>
      </w:r>
      <w:r>
        <w:rPr>
          <w:rFonts w:hint="eastAsia" w:ascii="仿宋" w:hAnsi="仿宋" w:eastAsia="仿宋"/>
          <w:sz w:val="24"/>
          <w:szCs w:val="24"/>
          <w:lang w:eastAsia="zh-CN"/>
        </w:rPr>
        <w:t>服务商</w:t>
      </w:r>
      <w:r>
        <w:rPr>
          <w:rFonts w:hint="eastAsia" w:ascii="仿宋" w:hAnsi="仿宋" w:eastAsia="仿宋"/>
          <w:sz w:val="24"/>
          <w:szCs w:val="24"/>
        </w:rPr>
        <w:t>书面同意的情况下，</w:t>
      </w:r>
      <w:r>
        <w:rPr>
          <w:rFonts w:hint="eastAsia" w:ascii="仿宋" w:hAnsi="仿宋" w:eastAsia="仿宋"/>
          <w:sz w:val="24"/>
          <w:szCs w:val="24"/>
          <w:lang w:eastAsia="zh-CN"/>
        </w:rPr>
        <w:t>医院</w:t>
      </w:r>
      <w:r>
        <w:rPr>
          <w:rFonts w:hint="eastAsia" w:ascii="仿宋" w:hAnsi="仿宋" w:eastAsia="仿宋"/>
          <w:sz w:val="24"/>
          <w:szCs w:val="24"/>
        </w:rPr>
        <w:t>不得允许第三方对系统进行修改；</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lang w:eastAsia="zh-CN"/>
        </w:rPr>
        <w:t>医院</w:t>
      </w:r>
      <w:r>
        <w:rPr>
          <w:rFonts w:hint="eastAsia" w:ascii="仿宋" w:hAnsi="仿宋" w:eastAsia="仿宋"/>
          <w:sz w:val="24"/>
          <w:szCs w:val="24"/>
        </w:rPr>
        <w:t>需配备、指定专业的电脑系统维护人员，承担系统日常维护工作，并及时、准确的向</w:t>
      </w:r>
      <w:r>
        <w:rPr>
          <w:rFonts w:hint="eastAsia" w:ascii="仿宋" w:hAnsi="仿宋" w:eastAsia="仿宋"/>
          <w:sz w:val="24"/>
          <w:szCs w:val="24"/>
          <w:lang w:eastAsia="zh-CN"/>
        </w:rPr>
        <w:t>服务商</w:t>
      </w:r>
      <w:r>
        <w:rPr>
          <w:rFonts w:hint="eastAsia" w:ascii="仿宋" w:hAnsi="仿宋" w:eastAsia="仿宋"/>
          <w:sz w:val="24"/>
          <w:szCs w:val="24"/>
        </w:rPr>
        <w:t>反馈出现的问题；</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rPr>
        <w:t>服务期内，</w:t>
      </w:r>
      <w:r>
        <w:rPr>
          <w:rFonts w:hint="eastAsia" w:ascii="仿宋" w:hAnsi="仿宋" w:eastAsia="仿宋"/>
          <w:sz w:val="24"/>
          <w:szCs w:val="24"/>
          <w:lang w:eastAsia="zh-CN"/>
        </w:rPr>
        <w:t>服务商</w:t>
      </w:r>
      <w:r>
        <w:rPr>
          <w:rFonts w:hint="eastAsia" w:ascii="仿宋" w:hAnsi="仿宋" w:eastAsia="仿宋"/>
          <w:sz w:val="24"/>
          <w:szCs w:val="24"/>
        </w:rPr>
        <w:t>为</w:t>
      </w:r>
      <w:r>
        <w:rPr>
          <w:rFonts w:hint="eastAsia" w:ascii="仿宋" w:hAnsi="仿宋" w:eastAsia="仿宋"/>
          <w:sz w:val="24"/>
          <w:szCs w:val="24"/>
          <w:lang w:eastAsia="zh-CN"/>
        </w:rPr>
        <w:t>医院</w:t>
      </w:r>
      <w:r>
        <w:rPr>
          <w:rFonts w:hint="eastAsia" w:ascii="仿宋" w:hAnsi="仿宋" w:eastAsia="仿宋"/>
          <w:sz w:val="24"/>
          <w:szCs w:val="24"/>
        </w:rPr>
        <w:t>提供</w:t>
      </w:r>
      <w:r>
        <w:rPr>
          <w:rFonts w:hint="eastAsia" w:ascii="仿宋" w:hAnsi="仿宋" w:eastAsia="仿宋"/>
          <w:sz w:val="24"/>
          <w:szCs w:val="24"/>
          <w:lang w:eastAsia="zh-CN"/>
        </w:rPr>
        <w:t>医院</w:t>
      </w:r>
      <w:r>
        <w:rPr>
          <w:rFonts w:hint="eastAsia" w:ascii="仿宋" w:hAnsi="仿宋" w:eastAsia="仿宋"/>
          <w:sz w:val="24"/>
          <w:szCs w:val="24"/>
        </w:rPr>
        <w:t>当前使用的系统软件正常运行的技术支持服务。</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rPr>
        <w:t>服务期内，</w:t>
      </w:r>
      <w:r>
        <w:rPr>
          <w:rFonts w:hint="eastAsia" w:ascii="仿宋" w:hAnsi="仿宋" w:eastAsia="仿宋"/>
          <w:sz w:val="24"/>
          <w:szCs w:val="24"/>
          <w:lang w:eastAsia="zh-CN"/>
        </w:rPr>
        <w:t>服务商</w:t>
      </w:r>
      <w:r>
        <w:rPr>
          <w:rFonts w:hint="eastAsia" w:ascii="仿宋" w:hAnsi="仿宋" w:eastAsia="仿宋"/>
          <w:sz w:val="24"/>
          <w:szCs w:val="24"/>
        </w:rPr>
        <w:t>负责</w:t>
      </w:r>
      <w:r>
        <w:rPr>
          <w:rFonts w:hint="eastAsia" w:ascii="仿宋" w:hAnsi="仿宋" w:eastAsia="仿宋"/>
          <w:sz w:val="24"/>
          <w:szCs w:val="24"/>
          <w:lang w:eastAsia="zh-CN"/>
        </w:rPr>
        <w:t>医院</w:t>
      </w:r>
      <w:r>
        <w:rPr>
          <w:rFonts w:hint="eastAsia" w:ascii="仿宋" w:hAnsi="仿宋" w:eastAsia="仿宋"/>
          <w:sz w:val="24"/>
          <w:szCs w:val="24"/>
        </w:rPr>
        <w:t>当前使用的多媒体医疗导引硬件：终端播放机的维修服务。</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rPr>
        <w:t>服务期内，</w:t>
      </w:r>
      <w:r>
        <w:rPr>
          <w:rFonts w:hint="eastAsia" w:ascii="仿宋" w:hAnsi="仿宋" w:eastAsia="仿宋"/>
          <w:sz w:val="24"/>
          <w:szCs w:val="24"/>
          <w:lang w:eastAsia="zh-CN"/>
        </w:rPr>
        <w:t>医院</w:t>
      </w:r>
      <w:r>
        <w:rPr>
          <w:rFonts w:hint="eastAsia" w:ascii="仿宋" w:hAnsi="仿宋" w:eastAsia="仿宋"/>
          <w:sz w:val="24"/>
          <w:szCs w:val="24"/>
        </w:rPr>
        <w:t>对当前使用的系统进行整改时，</w:t>
      </w:r>
      <w:r>
        <w:rPr>
          <w:rFonts w:hint="eastAsia" w:ascii="仿宋" w:hAnsi="仿宋" w:eastAsia="仿宋"/>
          <w:sz w:val="24"/>
          <w:szCs w:val="24"/>
          <w:lang w:eastAsia="zh-CN"/>
        </w:rPr>
        <w:t>服务商</w:t>
      </w:r>
      <w:r>
        <w:rPr>
          <w:rFonts w:hint="eastAsia" w:ascii="仿宋" w:hAnsi="仿宋" w:eastAsia="仿宋"/>
          <w:sz w:val="24"/>
          <w:szCs w:val="24"/>
        </w:rPr>
        <w:t>提供系统整改方案及技术咨询。</w:t>
      </w:r>
    </w:p>
    <w:p>
      <w:pPr>
        <w:pStyle w:val="8"/>
        <w:numPr>
          <w:ilvl w:val="0"/>
          <w:numId w:val="1"/>
        </w:numPr>
        <w:spacing w:after="120" w:line="360" w:lineRule="auto"/>
        <w:rPr>
          <w:rFonts w:ascii="仿宋" w:hAnsi="仿宋" w:eastAsia="仿宋"/>
          <w:sz w:val="24"/>
          <w:szCs w:val="24"/>
        </w:rPr>
      </w:pPr>
      <w:r>
        <w:rPr>
          <w:rFonts w:hint="eastAsia" w:ascii="仿宋" w:hAnsi="仿宋" w:eastAsia="仿宋"/>
          <w:sz w:val="24"/>
          <w:szCs w:val="24"/>
        </w:rPr>
        <w:t>服务期内，如</w:t>
      </w:r>
      <w:r>
        <w:rPr>
          <w:rFonts w:hint="eastAsia" w:ascii="仿宋" w:hAnsi="仿宋" w:eastAsia="仿宋"/>
          <w:sz w:val="24"/>
          <w:szCs w:val="24"/>
          <w:lang w:eastAsia="zh-CN"/>
        </w:rPr>
        <w:t>医院</w:t>
      </w:r>
      <w:r>
        <w:rPr>
          <w:rFonts w:hint="eastAsia" w:ascii="仿宋" w:hAnsi="仿宋" w:eastAsia="仿宋"/>
          <w:sz w:val="24"/>
          <w:szCs w:val="24"/>
        </w:rPr>
        <w:t>无法提供维修设备所需配件时，</w:t>
      </w:r>
      <w:r>
        <w:rPr>
          <w:rFonts w:hint="eastAsia" w:ascii="仿宋" w:hAnsi="仿宋" w:eastAsia="仿宋"/>
          <w:sz w:val="24"/>
          <w:szCs w:val="24"/>
          <w:lang w:eastAsia="zh-CN"/>
        </w:rPr>
        <w:t>服务商</w:t>
      </w:r>
      <w:r>
        <w:rPr>
          <w:rFonts w:hint="eastAsia" w:ascii="仿宋" w:hAnsi="仿宋" w:eastAsia="仿宋"/>
          <w:sz w:val="24"/>
          <w:szCs w:val="24"/>
        </w:rPr>
        <w:t>负责提供替代产品，该替代产品的费用由</w:t>
      </w:r>
      <w:r>
        <w:rPr>
          <w:rFonts w:hint="eastAsia" w:ascii="仿宋" w:hAnsi="仿宋" w:eastAsia="仿宋"/>
          <w:sz w:val="24"/>
          <w:szCs w:val="24"/>
          <w:lang w:eastAsia="zh-CN"/>
        </w:rPr>
        <w:t>医院</w:t>
      </w:r>
      <w:r>
        <w:rPr>
          <w:rFonts w:hint="eastAsia" w:ascii="仿宋" w:hAnsi="仿宋" w:eastAsia="仿宋"/>
          <w:sz w:val="24"/>
          <w:szCs w:val="24"/>
        </w:rPr>
        <w:t>预先支付。若</w:t>
      </w:r>
      <w:r>
        <w:rPr>
          <w:rFonts w:hint="eastAsia" w:ascii="仿宋" w:hAnsi="仿宋" w:eastAsia="仿宋"/>
          <w:sz w:val="24"/>
          <w:szCs w:val="24"/>
          <w:lang w:eastAsia="zh-CN"/>
        </w:rPr>
        <w:t>医院</w:t>
      </w:r>
      <w:r>
        <w:rPr>
          <w:rFonts w:hint="eastAsia" w:ascii="仿宋" w:hAnsi="仿宋" w:eastAsia="仿宋"/>
          <w:sz w:val="24"/>
          <w:szCs w:val="24"/>
        </w:rPr>
        <w:t>未事先支付该笔费用，</w:t>
      </w:r>
      <w:r>
        <w:rPr>
          <w:rFonts w:hint="eastAsia" w:ascii="仿宋" w:hAnsi="仿宋" w:eastAsia="仿宋"/>
          <w:sz w:val="24"/>
          <w:szCs w:val="24"/>
          <w:lang w:eastAsia="zh-CN"/>
        </w:rPr>
        <w:t>服务商</w:t>
      </w:r>
      <w:r>
        <w:rPr>
          <w:rFonts w:hint="eastAsia" w:ascii="仿宋" w:hAnsi="仿宋" w:eastAsia="仿宋"/>
          <w:sz w:val="24"/>
          <w:szCs w:val="24"/>
        </w:rPr>
        <w:t>有权拒绝提供上述服务，相应损失由</w:t>
      </w:r>
      <w:r>
        <w:rPr>
          <w:rFonts w:hint="eastAsia" w:ascii="仿宋" w:hAnsi="仿宋" w:eastAsia="仿宋"/>
          <w:sz w:val="24"/>
          <w:szCs w:val="24"/>
          <w:lang w:eastAsia="zh-CN"/>
        </w:rPr>
        <w:t>医院</w:t>
      </w:r>
      <w:r>
        <w:rPr>
          <w:rFonts w:hint="eastAsia" w:ascii="仿宋" w:hAnsi="仿宋" w:eastAsia="仿宋"/>
          <w:sz w:val="24"/>
          <w:szCs w:val="24"/>
        </w:rPr>
        <w:t>自行承担。</w:t>
      </w:r>
    </w:p>
    <w:p>
      <w:pPr>
        <w:pStyle w:val="9"/>
        <w:numPr>
          <w:ilvl w:val="0"/>
          <w:numId w:val="1"/>
        </w:numPr>
        <w:snapToGrid w:val="0"/>
        <w:spacing w:line="500" w:lineRule="exact"/>
        <w:ind w:firstLineChars="0"/>
        <w:rPr>
          <w:rFonts w:ascii="仿宋" w:hAnsi="仿宋" w:eastAsia="仿宋" w:cs="Times New Roman"/>
          <w:bCs w:val="0"/>
          <w:sz w:val="24"/>
          <w:szCs w:val="24"/>
          <w:lang w:val="en-US"/>
        </w:rPr>
      </w:pPr>
      <w:r>
        <w:rPr>
          <w:rFonts w:hint="eastAsia" w:ascii="仿宋" w:hAnsi="仿宋" w:eastAsia="仿宋" w:cs="宋体"/>
          <w:sz w:val="24"/>
          <w:szCs w:val="24"/>
        </w:rPr>
        <w:t>提供7</w:t>
      </w:r>
      <w:r>
        <w:rPr>
          <w:rFonts w:hint="eastAsia" w:ascii="仿宋" w:hAnsi="仿宋" w:eastAsia="仿宋"/>
          <w:sz w:val="24"/>
          <w:szCs w:val="24"/>
        </w:rPr>
        <w:t>×</w:t>
      </w:r>
      <w:r>
        <w:rPr>
          <w:rFonts w:hint="eastAsia" w:ascii="仿宋" w:hAnsi="仿宋" w:eastAsia="仿宋" w:cs="宋体"/>
          <w:sz w:val="24"/>
          <w:szCs w:val="24"/>
        </w:rPr>
        <w:t>24小时服务台支持、提供7</w:t>
      </w:r>
      <w:r>
        <w:rPr>
          <w:rFonts w:hint="eastAsia" w:ascii="仿宋" w:hAnsi="仿宋" w:eastAsia="仿宋"/>
          <w:sz w:val="24"/>
          <w:szCs w:val="24"/>
        </w:rPr>
        <w:t>×</w:t>
      </w:r>
      <w:r>
        <w:rPr>
          <w:rFonts w:hint="eastAsia" w:ascii="仿宋" w:hAnsi="仿宋" w:eastAsia="仿宋" w:cs="宋体"/>
          <w:sz w:val="24"/>
          <w:szCs w:val="24"/>
        </w:rPr>
        <w:t>24小时备件支持、</w:t>
      </w:r>
      <w:r>
        <w:rPr>
          <w:rFonts w:hint="eastAsia" w:ascii="仿宋" w:hAnsi="仿宋" w:eastAsia="仿宋" w:cs="宋体"/>
          <w:bCs/>
          <w:sz w:val="24"/>
          <w:szCs w:val="24"/>
          <w:lang w:val="en-GB"/>
        </w:rPr>
        <w:t>提供7</w:t>
      </w:r>
      <w:r>
        <w:rPr>
          <w:rFonts w:hint="eastAsia" w:ascii="仿宋" w:hAnsi="仿宋" w:eastAsia="仿宋"/>
          <w:sz w:val="24"/>
          <w:szCs w:val="24"/>
        </w:rPr>
        <w:t>×</w:t>
      </w:r>
      <w:r>
        <w:rPr>
          <w:rFonts w:hint="eastAsia" w:ascii="仿宋" w:hAnsi="仿宋" w:eastAsia="仿宋" w:cs="宋体"/>
          <w:bCs/>
          <w:sz w:val="24"/>
          <w:szCs w:val="24"/>
          <w:lang w:val="en-GB"/>
        </w:rPr>
        <w:t>24小时现场支持</w:t>
      </w:r>
    </w:p>
    <w:p>
      <w:pPr>
        <w:pStyle w:val="9"/>
        <w:numPr>
          <w:ilvl w:val="0"/>
          <w:numId w:val="1"/>
        </w:numPr>
        <w:snapToGrid w:val="0"/>
        <w:spacing w:line="500" w:lineRule="exact"/>
        <w:ind w:firstLineChars="0"/>
        <w:rPr>
          <w:rFonts w:ascii="仿宋" w:hAnsi="仿宋" w:eastAsia="仿宋" w:cs="Times New Roman"/>
          <w:bCs w:val="0"/>
          <w:sz w:val="24"/>
          <w:szCs w:val="24"/>
          <w:lang w:val="en-US"/>
        </w:rPr>
      </w:pPr>
      <w:r>
        <w:rPr>
          <w:rFonts w:hint="eastAsia" w:ascii="仿宋" w:hAnsi="仿宋" w:eastAsia="仿宋" w:cs="宋体"/>
          <w:bCs/>
          <w:sz w:val="24"/>
          <w:szCs w:val="24"/>
          <w:lang w:val="en-GB"/>
        </w:rPr>
        <w:t>具体服务内容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4"/>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序号</w:t>
            </w:r>
          </w:p>
        </w:tc>
        <w:tc>
          <w:tcPr>
            <w:tcW w:w="1134"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分类</w:t>
            </w:r>
          </w:p>
        </w:tc>
        <w:tc>
          <w:tcPr>
            <w:tcW w:w="631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具体服务内容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1</w:t>
            </w:r>
          </w:p>
        </w:tc>
        <w:tc>
          <w:tcPr>
            <w:tcW w:w="1134"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远程问题诊断与支持服务</w:t>
            </w:r>
          </w:p>
        </w:tc>
        <w:tc>
          <w:tcPr>
            <w:tcW w:w="631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院方可通过指定电话、邮件、网站提出服务请求，中标方远程服务工程师需及时与院方沟通，通过电话支持/远程接入等远程方式对服务范围内的设备进行诊断及技术支持。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2</w:t>
            </w:r>
          </w:p>
        </w:tc>
        <w:tc>
          <w:tcPr>
            <w:tcW w:w="1134"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现场支持服务</w:t>
            </w:r>
          </w:p>
        </w:tc>
        <w:tc>
          <w:tcPr>
            <w:tcW w:w="6316" w:type="dxa"/>
            <w:vAlign w:val="center"/>
          </w:tcPr>
          <w:p>
            <w:pPr>
              <w:snapToGrid w:val="0"/>
              <w:spacing w:line="360" w:lineRule="auto"/>
              <w:rPr>
                <w:rFonts w:ascii="仿宋" w:hAnsi="仿宋" w:eastAsia="仿宋"/>
                <w:sz w:val="21"/>
                <w:szCs w:val="21"/>
              </w:rPr>
            </w:pPr>
            <w:r>
              <w:rPr>
                <w:rFonts w:hint="eastAsia" w:ascii="仿宋" w:hAnsi="仿宋" w:eastAsia="仿宋"/>
                <w:sz w:val="21"/>
                <w:szCs w:val="21"/>
              </w:rPr>
              <w:t>对于没有条件进行远程支持、或未能通过远程支持诊断解决的问题，中标方服务工程师在SLA约定时间内到客户现场进行问题的诊断、并负责硬件相关问题的排除。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3</w:t>
            </w:r>
          </w:p>
        </w:tc>
        <w:tc>
          <w:tcPr>
            <w:tcW w:w="1134"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备件支持服务</w:t>
            </w:r>
          </w:p>
        </w:tc>
        <w:tc>
          <w:tcPr>
            <w:tcW w:w="631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根据远程或现场诊断结果，如需更换备件来修复硬件问题，投标方在合同规定的服务时效内将备件送至现场并使用备件恢复业务。提供7*24小时备件支持服务。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4</w:t>
            </w:r>
          </w:p>
        </w:tc>
        <w:tc>
          <w:tcPr>
            <w:tcW w:w="1134"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紧急故障恢复服务</w:t>
            </w:r>
          </w:p>
        </w:tc>
        <w:tc>
          <w:tcPr>
            <w:tcW w:w="631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由于客观原因无法及时判断、定位故障的情况下，中标方服务工程师将在征求院方的意见后，提供紧急故障恢复服务，利用应急预案或经院方许可的技术方案进行应急处置，优先恢复业务。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5</w:t>
            </w:r>
          </w:p>
        </w:tc>
        <w:tc>
          <w:tcPr>
            <w:tcW w:w="1134"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辅助故障定位服务</w:t>
            </w:r>
          </w:p>
        </w:tc>
        <w:tc>
          <w:tcPr>
            <w:tcW w:w="6316" w:type="dxa"/>
            <w:vAlign w:val="center"/>
          </w:tcPr>
          <w:p>
            <w:pPr>
              <w:widowControl/>
              <w:spacing w:line="360" w:lineRule="auto"/>
              <w:jc w:val="left"/>
              <w:rPr>
                <w:rFonts w:ascii="仿宋" w:hAnsi="仿宋" w:eastAsia="仿宋"/>
                <w:sz w:val="21"/>
                <w:szCs w:val="21"/>
              </w:rPr>
            </w:pPr>
            <w:r>
              <w:rPr>
                <w:rFonts w:hint="eastAsia" w:ascii="仿宋" w:hAnsi="仿宋" w:eastAsia="仿宋"/>
                <w:sz w:val="21"/>
                <w:szCs w:val="21"/>
              </w:rPr>
              <w:t>在客户端如出现系统故障难以迅速准确定位的情况，中标方服务工程师提供辅助故障定位服务，通过协调、配合相关软硬件服务厂商共同对系统故障进行排查定位，避免因多方推委造成院方业务的损失。</w:t>
            </w:r>
          </w:p>
        </w:tc>
      </w:tr>
    </w:tbl>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2597150</wp:posOffset>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5pt;margin-top:0.65pt;height:144pt;width:144pt;mso-position-horizontal-relative:margin;mso-wrap-style:none;z-index:251659264;mso-width-relative:page;mso-height-relative:page;" filled="f" stroked="f" coordsize="21600,21600" o:gfxdata="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pFyDtYAAAAJ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01F6F"/>
    <w:multiLevelType w:val="multilevel"/>
    <w:tmpl w:val="39801F6F"/>
    <w:lvl w:ilvl="0" w:tentative="0">
      <w:start w:val="1"/>
      <w:numFmt w:val="decimal"/>
      <w:lvlText w:val="%1．"/>
      <w:lvlJc w:val="left"/>
      <w:pPr>
        <w:tabs>
          <w:tab w:val="left" w:pos="704"/>
        </w:tabs>
        <w:ind w:left="704" w:hanging="420"/>
      </w:pPr>
      <w:rPr>
        <w:rFonts w:ascii="Times New Roman" w:hAnsi="Times New Roman" w:eastAsia="Times New Roman" w:cs="Times New Roman"/>
      </w:rPr>
    </w:lvl>
    <w:lvl w:ilvl="1" w:tentative="0">
      <w:start w:val="1"/>
      <w:numFmt w:val="decimalEnclosedCircle"/>
      <w:lvlText w:val="%2"/>
      <w:lvlJc w:val="left"/>
      <w:pPr>
        <w:tabs>
          <w:tab w:val="left" w:pos="1064"/>
        </w:tabs>
        <w:ind w:left="1064" w:hanging="360"/>
      </w:pPr>
      <w:rPr>
        <w:rFonts w:hint="default"/>
      </w:rPr>
    </w:lvl>
    <w:lvl w:ilvl="2" w:tentative="0">
      <w:start w:val="2"/>
      <w:numFmt w:val="japaneseCounting"/>
      <w:lvlText w:val="%3，"/>
      <w:lvlJc w:val="left"/>
      <w:pPr>
        <w:tabs>
          <w:tab w:val="left" w:pos="1544"/>
        </w:tabs>
        <w:ind w:left="1544" w:hanging="420"/>
      </w:pPr>
      <w:rPr>
        <w:rFonts w:hint="default"/>
      </w:rPr>
    </w:lvl>
    <w:lvl w:ilvl="3" w:tentative="0">
      <w:start w:val="2"/>
      <w:numFmt w:val="japaneseCounting"/>
      <w:lvlText w:val="%4、"/>
      <w:lvlJc w:val="left"/>
      <w:pPr>
        <w:tabs>
          <w:tab w:val="left" w:pos="720"/>
        </w:tabs>
        <w:ind w:left="720" w:hanging="720"/>
      </w:pPr>
      <w:rPr>
        <w:rFonts w:hint="default"/>
      </w:r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GZhYjVkZjk3MjkyYTg5MDliZTZlM2I1YzY3ZWMifQ=="/>
  </w:docVars>
  <w:rsids>
    <w:rsidRoot w:val="679F376F"/>
    <w:rsid w:val="000C78A9"/>
    <w:rsid w:val="001123FD"/>
    <w:rsid w:val="001565A2"/>
    <w:rsid w:val="0017409C"/>
    <w:rsid w:val="0022298F"/>
    <w:rsid w:val="003A48E0"/>
    <w:rsid w:val="00E706C9"/>
    <w:rsid w:val="05C70E9C"/>
    <w:rsid w:val="172D08C0"/>
    <w:rsid w:val="221F7512"/>
    <w:rsid w:val="3E6842C3"/>
    <w:rsid w:val="43A060A9"/>
    <w:rsid w:val="46FB3103"/>
    <w:rsid w:val="4C4C6FD2"/>
    <w:rsid w:val="4F544D20"/>
    <w:rsid w:val="52BE5341"/>
    <w:rsid w:val="5CB44699"/>
    <w:rsid w:val="679F376F"/>
    <w:rsid w:val="6D893B83"/>
    <w:rsid w:val="6EFD3308"/>
    <w:rsid w:val="79AD6A52"/>
    <w:rsid w:val="7E863122"/>
    <w:rsid w:val="7F1C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widowControl/>
      <w:overflowPunct w:val="0"/>
      <w:autoSpaceDE w:val="0"/>
      <w:autoSpaceDN w:val="0"/>
      <w:adjustRightInd w:val="0"/>
      <w:spacing w:after="220" w:line="180" w:lineRule="atLeast"/>
      <w:textAlignment w:val="baseline"/>
    </w:pPr>
    <w:rPr>
      <w:rFonts w:ascii="Arial" w:hAnsi="Arial" w:cs="Times New Roman"/>
      <w:spacing w:val="-5"/>
      <w:sz w:val="2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 Spacing"/>
    <w:qFormat/>
    <w:uiPriority w:val="1"/>
    <w:pPr>
      <w:widowControl w:val="0"/>
    </w:pPr>
    <w:rPr>
      <w:rFonts w:ascii="等线" w:hAnsi="等线" w:eastAsia="仿宋" w:cs="Microsoft Himalaya"/>
      <w:kern w:val="2"/>
      <w:sz w:val="24"/>
      <w:szCs w:val="22"/>
      <w:lang w:val="en-US" w:eastAsia="zh-CN" w:bidi="ar-SA"/>
    </w:rPr>
  </w:style>
  <w:style w:type="paragraph" w:customStyle="1" w:styleId="8">
    <w:name w:val="编号正文5"/>
    <w:basedOn w:val="1"/>
    <w:qFormat/>
    <w:uiPriority w:val="0"/>
    <w:pPr>
      <w:adjustRightInd w:val="0"/>
      <w:spacing w:line="240" w:lineRule="atLeast"/>
      <w:ind w:left="709" w:hanging="425"/>
      <w:textAlignment w:val="baseline"/>
    </w:pPr>
    <w:rPr>
      <w:rFonts w:ascii="Times New Roman" w:cs="Times New Roman"/>
      <w:sz w:val="21"/>
      <w:szCs w:val="20"/>
    </w:rPr>
  </w:style>
  <w:style w:type="paragraph" w:customStyle="1" w:styleId="9">
    <w:name w:val="列出段落11"/>
    <w:basedOn w:val="1"/>
    <w:qFormat/>
    <w:uiPriority w:val="34"/>
    <w:pPr>
      <w:ind w:firstLine="420" w:firstLineChars="200"/>
    </w:pPr>
    <w:rPr>
      <w:rFonts w:ascii="Calibri" w:hAnsi="Calibri" w:cs="Times New Roman"/>
      <w:kern w:val="2"/>
      <w:sz w:val="21"/>
      <w:szCs w:val="22"/>
    </w:rPr>
  </w:style>
  <w:style w:type="paragraph" w:customStyle="1" w:styleId="10">
    <w:name w:val="标题--中节"/>
    <w:basedOn w:val="1"/>
    <w:next w:val="1"/>
    <w:qFormat/>
    <w:uiPriority w:val="0"/>
    <w:pPr>
      <w:adjustRightInd w:val="0"/>
      <w:spacing w:line="312" w:lineRule="atLeast"/>
      <w:ind w:left="170" w:hanging="170"/>
      <w:textAlignment w:val="baseline"/>
    </w:pPr>
    <w:rPr>
      <w:rFonts w:ascii="Times New Roman" w:cs="Times New Roman"/>
      <w:b/>
      <w:sz w:val="24"/>
      <w:szCs w:val="20"/>
      <w:u w:val="doub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1042</Words>
  <Characters>1105</Characters>
  <Lines>30</Lines>
  <Paragraphs>8</Paragraphs>
  <TotalTime>30</TotalTime>
  <ScaleCrop>false</ScaleCrop>
  <LinksUpToDate>false</LinksUpToDate>
  <CharactersWithSpaces>1124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2021-03-18T08:33:00Z</dcterms:created>
  <dc:creator>余伟</dc:creator>
  <cp:lastModifiedBy>余伟</cp:lastModifiedBy>
  <dcterms:modified xsi:type="dcterms:W3CDTF">2022-11-10T08:25:02Z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3BA0FD99A6F044D48DD6DE686221EEC7</vt:lpwstr>
  </property>
</Properties>
</file>