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firstLine="640" w:firstLineChars="200"/>
        <w:contextualSpacing/>
        <w:jc w:val="center"/>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等级保护测评服务需求</w:t>
      </w:r>
    </w:p>
    <w:p>
      <w:pPr>
        <w:pStyle w:val="4"/>
        <w:numPr>
          <w:numId w:val="0"/>
        </w:numPr>
        <w:ind w:leftChars="0"/>
        <w:rPr>
          <w:rFonts w:ascii="仿宋_GB2312" w:hAnsi="仿宋_GB2312" w:eastAsia="仿宋_GB2312" w:cs="Helvetica Neue"/>
          <w:sz w:val="24"/>
          <w:szCs w:val="24"/>
        </w:rPr>
      </w:pPr>
    </w:p>
    <w:p>
      <w:pPr>
        <w:pStyle w:val="4"/>
        <w:numPr>
          <w:ilvl w:val="0"/>
          <w:numId w:val="1"/>
        </w:numPr>
        <w:rPr>
          <w:rFonts w:ascii="仿宋_GB2312" w:hAnsi="仿宋_GB2312" w:eastAsia="仿宋_GB2312" w:cs="Helvetica Neue"/>
          <w:sz w:val="24"/>
          <w:szCs w:val="24"/>
        </w:rPr>
      </w:pPr>
      <w:r>
        <w:rPr>
          <w:rFonts w:hint="eastAsia" w:ascii="仿宋_GB2312" w:hAnsi="仿宋_GB2312" w:eastAsia="仿宋_GB2312" w:cs="Helvetica Neue"/>
          <w:sz w:val="24"/>
          <w:szCs w:val="24"/>
        </w:rPr>
        <w:t>项目概况</w:t>
      </w:r>
    </w:p>
    <w:p>
      <w:pPr>
        <w:spacing w:line="500" w:lineRule="exact"/>
        <w:ind w:firstLine="480" w:firstLineChars="200"/>
        <w:rPr>
          <w:rFonts w:ascii="仿宋_GB2312" w:hAnsi="仿宋_GB2312" w:eastAsia="仿宋_GB2312"/>
          <w:bCs/>
          <w:sz w:val="24"/>
          <w:szCs w:val="24"/>
        </w:rPr>
      </w:pPr>
      <w:r>
        <w:rPr>
          <w:rFonts w:hint="eastAsia" w:ascii="仿宋_GB2312" w:hAnsi="仿宋_GB2312" w:eastAsia="仿宋_GB2312"/>
          <w:bCs/>
          <w:sz w:val="24"/>
          <w:szCs w:val="24"/>
        </w:rPr>
        <w:t>成都市公共卫生临床医疗中心依据《中华人民共和国网络安全法》的相关要求，对本单位的信息系统进行网络安全等级保护测评工作。</w:t>
      </w:r>
    </w:p>
    <w:p>
      <w:pPr>
        <w:spacing w:line="500" w:lineRule="exact"/>
        <w:ind w:firstLine="480" w:firstLineChars="200"/>
        <w:rPr>
          <w:rFonts w:hint="eastAsia" w:ascii="仿宋_GB2312" w:hAnsi="仿宋_GB2312" w:eastAsia="仿宋_GB2312"/>
          <w:bCs/>
          <w:sz w:val="24"/>
          <w:szCs w:val="24"/>
        </w:rPr>
      </w:pPr>
      <w:r>
        <w:rPr>
          <w:rFonts w:hint="eastAsia" w:ascii="仿宋_GB2312" w:hAnsi="仿宋_GB2312" w:eastAsia="仿宋_GB2312"/>
          <w:bCs/>
          <w:sz w:val="24"/>
          <w:szCs w:val="24"/>
        </w:rPr>
        <w:t>本次信息安全等级保护测评涵盖安全技术内容包括：安全技术测评：包括安全物理环境、安全通信网络、安全区域边界、安全计算环境和安全管理中心等五个方面的安全测评。安全管理测评：包括安全管理制度、安全管理机构、安全管理人员、安全建设管理和安全运维管理等五个方面的安全测评。依据相关的测评准则，结合系统的构成特点，确定具体的测评对象，制定测评方案，通过访谈、检查、测评和系统分析等方式判断其安全技术和安全管理的各方面是否达到了相应等级的国家信息系统等级保护要求，找出信息系统中存在的安全隐患，对安全性进行整体评估，制定相关的信息安全整体安全策略和中长期的安全规划，以便对被测系统进行安全方面的调整和改进，确保</w:t>
      </w:r>
      <w:bookmarkStart w:id="1" w:name="_GoBack"/>
      <w:bookmarkEnd w:id="1"/>
      <w:r>
        <w:rPr>
          <w:rFonts w:hint="eastAsia" w:ascii="仿宋_GB2312" w:hAnsi="仿宋_GB2312" w:eastAsia="仿宋_GB2312"/>
          <w:bCs/>
          <w:sz w:val="24"/>
          <w:szCs w:val="24"/>
        </w:rPr>
        <w:t>其安全防护水平达到信息系统安全等级保护相应能力的要求。</w:t>
      </w:r>
    </w:p>
    <w:p>
      <w:pPr>
        <w:pStyle w:val="4"/>
        <w:rPr>
          <w:rFonts w:ascii="仿宋_GB2312" w:hAnsi="仿宋_GB2312" w:eastAsia="仿宋_GB2312" w:cs="Helvetica Neue"/>
          <w:b w:val="0"/>
          <w:bCs w:val="0"/>
          <w:sz w:val="24"/>
          <w:szCs w:val="24"/>
        </w:rPr>
      </w:pPr>
      <w:r>
        <w:rPr>
          <w:rFonts w:hint="eastAsia" w:ascii="仿宋_GB2312" w:hAnsi="仿宋_GB2312" w:eastAsia="仿宋_GB2312" w:cs="Helvetica Neue"/>
          <w:sz w:val="24"/>
          <w:szCs w:val="24"/>
        </w:rPr>
        <w:t>二、商务要求</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1．项目实施周期及地点</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1.1项目实施周期：合同签订后</w:t>
      </w:r>
      <w:r>
        <w:rPr>
          <w:rFonts w:hint="eastAsia" w:ascii="仿宋" w:hAnsi="仿宋" w:eastAsia="仿宋"/>
          <w:bCs/>
          <w:sz w:val="24"/>
          <w:szCs w:val="24"/>
          <w:lang w:val="en-US" w:eastAsia="zh-CN"/>
        </w:rPr>
        <w:t>3</w:t>
      </w:r>
      <w:r>
        <w:rPr>
          <w:rFonts w:ascii="仿宋" w:hAnsi="仿宋" w:eastAsia="仿宋"/>
          <w:bCs/>
          <w:sz w:val="24"/>
          <w:szCs w:val="24"/>
        </w:rPr>
        <w:t>个月内完成。</w:t>
      </w:r>
    </w:p>
    <w:p>
      <w:pPr>
        <w:snapToGrid w:val="0"/>
        <w:spacing w:after="50" w:line="500" w:lineRule="exact"/>
        <w:rPr>
          <w:rFonts w:ascii="仿宋" w:hAnsi="仿宋" w:eastAsia="仿宋"/>
          <w:bCs/>
          <w:sz w:val="24"/>
          <w:szCs w:val="24"/>
        </w:rPr>
      </w:pPr>
      <w:r>
        <w:rPr>
          <w:rFonts w:hint="eastAsia" w:ascii="仿宋" w:hAnsi="仿宋" w:eastAsia="仿宋"/>
          <w:bCs/>
          <w:sz w:val="24"/>
          <w:szCs w:val="24"/>
        </w:rPr>
        <w:t>1.2 项目实施地点:成都市公共卫生临床医疗中心。</w:t>
      </w:r>
    </w:p>
    <w:p>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.售后服务</w:t>
      </w:r>
    </w:p>
    <w:p>
      <w:pPr>
        <w:snapToGrid w:val="0"/>
        <w:spacing w:after="50" w:line="500" w:lineRule="exact"/>
        <w:rPr>
          <w:rFonts w:ascii="仿宋" w:hAnsi="仿宋" w:eastAsia="仿宋"/>
          <w:bCs/>
          <w:sz w:val="24"/>
          <w:szCs w:val="24"/>
        </w:rPr>
      </w:pPr>
      <w:r>
        <w:rPr>
          <w:rFonts w:hint="eastAsia" w:ascii="仿宋" w:hAnsi="仿宋" w:eastAsia="仿宋"/>
          <w:bCs/>
          <w:sz w:val="24"/>
          <w:szCs w:val="24"/>
          <w:lang w:val="en-US" w:eastAsia="zh-CN"/>
        </w:rPr>
        <w:t>2</w:t>
      </w:r>
      <w:r>
        <w:rPr>
          <w:rFonts w:hint="eastAsia" w:ascii="仿宋" w:hAnsi="仿宋" w:eastAsia="仿宋"/>
          <w:bCs/>
          <w:sz w:val="24"/>
          <w:szCs w:val="24"/>
        </w:rPr>
        <w:t>.</w:t>
      </w:r>
      <w:r>
        <w:rPr>
          <w:rFonts w:ascii="仿宋" w:hAnsi="仿宋" w:eastAsia="仿宋"/>
          <w:bCs/>
          <w:sz w:val="24"/>
          <w:szCs w:val="24"/>
        </w:rPr>
        <w:t>1</w:t>
      </w:r>
      <w:r>
        <w:rPr>
          <w:rFonts w:hint="eastAsia" w:ascii="仿宋" w:hAnsi="仿宋" w:eastAsia="仿宋"/>
          <w:bCs/>
          <w:sz w:val="24"/>
          <w:szCs w:val="24"/>
        </w:rPr>
        <w:t>为提升服务质量，做好售后服务工作，本项目需提供电话、邮件、网站、现场支持等多种服务方式。</w:t>
      </w:r>
    </w:p>
    <w:p>
      <w:pPr>
        <w:snapToGrid w:val="0"/>
        <w:spacing w:after="50" w:line="500" w:lineRule="exact"/>
        <w:rPr>
          <w:rFonts w:hint="eastAsia" w:ascii="仿宋" w:hAnsi="仿宋" w:eastAsia="仿宋"/>
          <w:bCs/>
          <w:sz w:val="24"/>
          <w:szCs w:val="24"/>
        </w:rPr>
      </w:pPr>
      <w:r>
        <w:rPr>
          <w:rFonts w:hint="eastAsia" w:ascii="仿宋" w:hAnsi="仿宋" w:eastAsia="仿宋"/>
          <w:bCs/>
          <w:sz w:val="24"/>
          <w:szCs w:val="24"/>
        </w:rPr>
        <w:t>提供</w:t>
      </w:r>
      <w:r>
        <w:rPr>
          <w:rFonts w:ascii="仿宋" w:hAnsi="仿宋" w:eastAsia="仿宋"/>
          <w:bCs/>
          <w:sz w:val="24"/>
          <w:szCs w:val="24"/>
        </w:rPr>
        <w:t>7*24小时标准电话支持服务，一般问题24小时内到场处理，重大问题2小时内到场处理；对于出现的问题和故障，首先进行电话或者远程解决，如果事件紧急，影响范围大，提供现场处置服务，要求服务工程师2小时内赶到医院现场，解决出现的紧急问题和故障。</w:t>
      </w:r>
      <w:r>
        <w:rPr>
          <w:rFonts w:hint="eastAsia" w:ascii="仿宋" w:hAnsi="仿宋" w:eastAsia="仿宋"/>
          <w:bCs/>
          <w:sz w:val="24"/>
          <w:szCs w:val="24"/>
        </w:rPr>
        <w:t>。</w:t>
      </w:r>
    </w:p>
    <w:p>
      <w:pPr>
        <w:pStyle w:val="4"/>
        <w:rPr>
          <w:rFonts w:ascii="仿宋_GB2312" w:hAnsi="仿宋_GB2312" w:eastAsia="仿宋_GB2312" w:cs="Helvetica Neue"/>
          <w:sz w:val="24"/>
          <w:szCs w:val="24"/>
        </w:rPr>
      </w:pPr>
      <w:r>
        <w:rPr>
          <w:rFonts w:hint="eastAsia" w:ascii="仿宋_GB2312" w:hAnsi="仿宋_GB2312" w:eastAsia="仿宋_GB2312" w:cs="Helvetica Neue"/>
          <w:sz w:val="24"/>
          <w:szCs w:val="24"/>
        </w:rPr>
        <w:t>三、</w:t>
      </w:r>
      <w:r>
        <w:rPr>
          <w:rFonts w:ascii="仿宋_GB2312" w:hAnsi="仿宋_GB2312" w:eastAsia="仿宋_GB2312" w:cs="Helvetica Neue"/>
          <w:sz w:val="24"/>
          <w:szCs w:val="24"/>
        </w:rPr>
        <w:t>服务</w:t>
      </w:r>
      <w:r>
        <w:rPr>
          <w:rFonts w:hint="eastAsia" w:ascii="仿宋_GB2312" w:hAnsi="仿宋_GB2312" w:eastAsia="仿宋_GB2312" w:cs="Helvetica Neue"/>
          <w:sz w:val="24"/>
          <w:szCs w:val="24"/>
        </w:rPr>
        <w:t>要求</w:t>
      </w:r>
    </w:p>
    <w:p>
      <w:pPr>
        <w:widowControl/>
        <w:tabs>
          <w:tab w:val="left" w:pos="425"/>
        </w:tabs>
        <w:spacing w:line="360" w:lineRule="auto"/>
        <w:ind w:right="-85" w:rightChars="-25"/>
        <w:jc w:val="left"/>
        <w:rPr>
          <w:rFonts w:ascii="仿宋" w:hAnsi="仿宋" w:eastAsia="仿宋"/>
          <w:b/>
          <w:bCs/>
          <w:kern w:val="2"/>
          <w:sz w:val="24"/>
          <w:szCs w:val="24"/>
        </w:rPr>
      </w:pPr>
      <w:r>
        <w:rPr>
          <w:rFonts w:hint="eastAsia" w:ascii="仿宋" w:hAnsi="仿宋" w:eastAsia="仿宋"/>
          <w:b/>
          <w:bCs/>
          <w:kern w:val="2"/>
          <w:sz w:val="24"/>
          <w:szCs w:val="24"/>
        </w:rPr>
        <w:t>（一）项目需求：</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22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24"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系统名称</w:t>
            </w:r>
          </w:p>
        </w:tc>
        <w:tc>
          <w:tcPr>
            <w:tcW w:w="2268"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安全保护等级</w:t>
            </w:r>
          </w:p>
        </w:tc>
        <w:tc>
          <w:tcPr>
            <w:tcW w:w="2330" w:type="dxa"/>
            <w:noWrap w:val="0"/>
            <w:vAlign w:val="center"/>
          </w:tcPr>
          <w:p>
            <w:pPr>
              <w:jc w:val="center"/>
              <w:rPr>
                <w:rFonts w:ascii="仿宋" w:hAnsi="仿宋" w:eastAsia="仿宋" w:cs="仿宋"/>
                <w:b/>
                <w:bCs/>
                <w:sz w:val="24"/>
                <w:szCs w:val="24"/>
              </w:rPr>
            </w:pPr>
            <w:r>
              <w:rPr>
                <w:rFonts w:hint="eastAsia" w:ascii="仿宋" w:hAnsi="仿宋" w:eastAsia="仿宋" w:cs="仿宋"/>
                <w:b/>
                <w:bCs/>
                <w:sz w:val="24"/>
                <w:szCs w:val="24"/>
              </w:rPr>
              <w:t>测评地点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HIS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LIS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PACS</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EMR</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微信</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24"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网站</w:t>
            </w:r>
          </w:p>
        </w:tc>
        <w:tc>
          <w:tcPr>
            <w:tcW w:w="2268"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三级</w:t>
            </w:r>
          </w:p>
        </w:tc>
        <w:tc>
          <w:tcPr>
            <w:tcW w:w="2330" w:type="dxa"/>
            <w:noWrap w:val="0"/>
            <w:vAlign w:val="center"/>
          </w:tcPr>
          <w:p>
            <w:pPr>
              <w:jc w:val="center"/>
              <w:rPr>
                <w:rFonts w:ascii="仿宋" w:hAnsi="仿宋" w:eastAsia="仿宋" w:cs="仿宋"/>
                <w:sz w:val="24"/>
                <w:szCs w:val="24"/>
              </w:rPr>
            </w:pPr>
            <w:r>
              <w:rPr>
                <w:rFonts w:hint="eastAsia" w:ascii="仿宋" w:hAnsi="仿宋" w:eastAsia="仿宋" w:cs="仿宋"/>
                <w:sz w:val="24"/>
                <w:szCs w:val="24"/>
              </w:rPr>
              <w:t>医院</w:t>
            </w:r>
          </w:p>
        </w:tc>
      </w:tr>
    </w:tbl>
    <w:p>
      <w:pPr>
        <w:widowControl/>
        <w:tabs>
          <w:tab w:val="left" w:pos="425"/>
        </w:tabs>
        <w:spacing w:line="360" w:lineRule="auto"/>
        <w:ind w:right="-85" w:rightChars="-25"/>
        <w:jc w:val="left"/>
        <w:rPr>
          <w:rFonts w:hint="eastAsia" w:ascii="仿宋" w:hAnsi="仿宋" w:eastAsia="仿宋"/>
          <w:b/>
          <w:bCs/>
          <w:kern w:val="2"/>
          <w:sz w:val="24"/>
          <w:szCs w:val="24"/>
        </w:rPr>
      </w:pPr>
      <w:r>
        <w:rPr>
          <w:rFonts w:hint="eastAsia" w:ascii="仿宋" w:hAnsi="仿宋" w:eastAsia="仿宋"/>
          <w:b/>
          <w:bCs/>
          <w:kern w:val="2"/>
          <w:sz w:val="24"/>
          <w:szCs w:val="24"/>
        </w:rPr>
        <w:t>（二）</w:t>
      </w:r>
      <w:r>
        <w:rPr>
          <w:rFonts w:ascii="仿宋" w:hAnsi="仿宋" w:eastAsia="仿宋"/>
          <w:b/>
          <w:bCs/>
          <w:kern w:val="2"/>
          <w:sz w:val="24"/>
          <w:szCs w:val="24"/>
        </w:rPr>
        <w:t>项目实施标准</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w:t>
      </w:r>
      <w:r>
        <w:rPr>
          <w:rFonts w:ascii="仿宋" w:hAnsi="仿宋" w:eastAsia="仿宋"/>
          <w:kern w:val="2"/>
          <w:sz w:val="24"/>
          <w:szCs w:val="24"/>
        </w:rPr>
        <w:t>1）测评依据</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《中华人民共和国网络安全法》</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《信息安全等级保护管理办法》（公通字[2007]43号）</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22239-2019信息安全技术 网络安全等级保护基本要求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22240-2020信息安全技术 网络安全等级保护定级指南</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25070-2019信息安全技术 网络安全等级保护安全设计技术要求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28449-2018 信息安全技术 网络安全等级保护测评过程指南</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28448-2019信息安全技术 网络安全等级保护测评要求</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18336.1-2008信息技术 安全技术 信息技术安全性评估准则</w:t>
      </w:r>
    </w:p>
    <w:p>
      <w:pPr>
        <w:widowControl/>
        <w:tabs>
          <w:tab w:val="left" w:pos="425"/>
        </w:tabs>
        <w:spacing w:line="360" w:lineRule="auto"/>
        <w:ind w:right="-85" w:rightChars="-25"/>
        <w:jc w:val="left"/>
        <w:rPr>
          <w:rFonts w:ascii="仿宋" w:hAnsi="仿宋" w:eastAsia="仿宋"/>
          <w:kern w:val="2"/>
          <w:sz w:val="24"/>
          <w:szCs w:val="24"/>
        </w:rPr>
      </w:pPr>
      <w:r>
        <w:rPr>
          <w:rFonts w:ascii="仿宋" w:hAnsi="仿宋" w:eastAsia="仿宋"/>
          <w:kern w:val="2"/>
          <w:sz w:val="24"/>
          <w:szCs w:val="24"/>
        </w:rPr>
        <w:t></w:t>
      </w:r>
      <w:r>
        <w:rPr>
          <w:rFonts w:ascii="仿宋" w:hAnsi="仿宋" w:eastAsia="仿宋"/>
          <w:kern w:val="2"/>
          <w:sz w:val="24"/>
          <w:szCs w:val="24"/>
        </w:rPr>
        <w:tab/>
      </w:r>
      <w:r>
        <w:rPr>
          <w:rFonts w:ascii="仿宋" w:hAnsi="仿宋" w:eastAsia="仿宋"/>
          <w:kern w:val="2"/>
          <w:sz w:val="24"/>
          <w:szCs w:val="24"/>
        </w:rPr>
        <w:t>GBT 25070-2019信息安全技术 网络安全等级保护安全设计技术要求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w:t>
      </w:r>
      <w:r>
        <w:rPr>
          <w:rFonts w:ascii="仿宋" w:hAnsi="仿宋" w:eastAsia="仿宋"/>
          <w:kern w:val="2"/>
          <w:sz w:val="24"/>
          <w:szCs w:val="24"/>
        </w:rPr>
        <w:t>2）测评原则</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保密性要求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供应商与采购人签订保密协议，对测评的过程数据和结果数据严格保密，未经采购人授权不得泄露相关信息给任何单位和个人，不得利用此数据侵害采购人的权益，否则采购人有权追究公司的责任。</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标准性要求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供应商的测评方法及评估方案的设计与实施都是依据国家的相关标准进行。</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规范性要求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供应商在项目实施过程中按照项目管理规范对工作中产生的过程文档进行管理，便于项目跟踪和控制。</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可控性要求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供应商根据项目实际情况提供项目安排计划保证采购人对测评工作的可控性。</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整体性要求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测评及评估的范围和内容满足等级保护</w:t>
      </w:r>
      <w:r>
        <w:rPr>
          <w:rFonts w:ascii="仿宋" w:hAnsi="仿宋" w:eastAsia="仿宋"/>
          <w:kern w:val="2"/>
          <w:sz w:val="24"/>
          <w:szCs w:val="24"/>
        </w:rPr>
        <w:t>2.0的相关基本要求。</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系统运行要求</w:t>
      </w:r>
    </w:p>
    <w:p>
      <w:pPr>
        <w:widowControl/>
        <w:tabs>
          <w:tab w:val="left" w:pos="425"/>
        </w:tabs>
        <w:spacing w:line="360" w:lineRule="auto"/>
        <w:ind w:right="-85" w:rightChars="-25"/>
        <w:jc w:val="left"/>
        <w:rPr>
          <w:rFonts w:hint="eastAsia" w:ascii="仿宋" w:hAnsi="仿宋" w:eastAsia="仿宋"/>
          <w:kern w:val="2"/>
          <w:sz w:val="24"/>
          <w:szCs w:val="24"/>
        </w:rPr>
      </w:pPr>
      <w:r>
        <w:rPr>
          <w:rFonts w:hint="eastAsia" w:ascii="仿宋" w:hAnsi="仿宋" w:eastAsia="仿宋"/>
          <w:kern w:val="2"/>
          <w:sz w:val="24"/>
          <w:szCs w:val="24"/>
        </w:rPr>
        <w:t>技术测评及评估工作不对现有运行系统造成影响。若评估可能会影响在线系统运行的应提供系统保障方案经采购人同意后进行。</w:t>
      </w:r>
    </w:p>
    <w:p>
      <w:pPr>
        <w:widowControl/>
        <w:tabs>
          <w:tab w:val="left" w:pos="425"/>
        </w:tabs>
        <w:spacing w:line="360" w:lineRule="auto"/>
        <w:ind w:right="-85" w:rightChars="-25"/>
        <w:jc w:val="left"/>
        <w:rPr>
          <w:rFonts w:ascii="仿宋" w:hAnsi="仿宋" w:eastAsia="仿宋"/>
          <w:kern w:val="2"/>
          <w:sz w:val="24"/>
          <w:szCs w:val="24"/>
        </w:rPr>
      </w:pPr>
      <w:r>
        <w:rPr>
          <w:rFonts w:hint="eastAsia" w:ascii="仿宋" w:hAnsi="仿宋" w:eastAsia="仿宋"/>
          <w:kern w:val="2"/>
          <w:sz w:val="24"/>
          <w:szCs w:val="24"/>
        </w:rPr>
        <w:t>（三）输出报告成果要求</w:t>
      </w:r>
    </w:p>
    <w:tbl>
      <w:tblPr>
        <w:tblStyle w:val="6"/>
        <w:tblW w:w="85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88"/>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trPr>
        <w:tc>
          <w:tcPr>
            <w:tcW w:w="761" w:type="dxa"/>
            <w:shd w:val="clear" w:color="auto" w:fill="A6A6A6"/>
            <w:noWrap w:val="0"/>
            <w:vAlign w:val="center"/>
          </w:tcPr>
          <w:p>
            <w:pPr>
              <w:pStyle w:val="5"/>
              <w:rPr>
                <w:rFonts w:ascii="仿宋" w:hAnsi="仿宋" w:eastAsia="仿宋" w:cs="仿宋"/>
                <w:b/>
                <w:bCs/>
              </w:rPr>
            </w:pPr>
            <w:r>
              <w:rPr>
                <w:rFonts w:hint="eastAsia" w:ascii="仿宋" w:hAnsi="仿宋" w:eastAsia="仿宋" w:cs="仿宋"/>
                <w:b/>
                <w:bCs/>
              </w:rPr>
              <w:t>序号</w:t>
            </w:r>
          </w:p>
        </w:tc>
        <w:tc>
          <w:tcPr>
            <w:tcW w:w="1488" w:type="dxa"/>
            <w:shd w:val="clear" w:color="auto" w:fill="A6A6A6"/>
            <w:noWrap w:val="0"/>
            <w:vAlign w:val="center"/>
          </w:tcPr>
          <w:p>
            <w:pPr>
              <w:pStyle w:val="5"/>
              <w:rPr>
                <w:rFonts w:ascii="仿宋" w:hAnsi="仿宋" w:eastAsia="仿宋" w:cs="仿宋"/>
                <w:b/>
                <w:bCs/>
              </w:rPr>
            </w:pPr>
            <w:r>
              <w:rPr>
                <w:rFonts w:hint="eastAsia" w:ascii="仿宋" w:hAnsi="仿宋" w:eastAsia="仿宋" w:cs="仿宋"/>
                <w:b/>
                <w:bCs/>
              </w:rPr>
              <w:t>项目阶段</w:t>
            </w:r>
          </w:p>
        </w:tc>
        <w:tc>
          <w:tcPr>
            <w:tcW w:w="6336" w:type="dxa"/>
            <w:shd w:val="clear" w:color="auto" w:fill="A6A6A6"/>
            <w:noWrap w:val="0"/>
            <w:vAlign w:val="center"/>
          </w:tcPr>
          <w:p>
            <w:pPr>
              <w:pStyle w:val="5"/>
              <w:rPr>
                <w:rFonts w:ascii="仿宋" w:hAnsi="仿宋" w:eastAsia="仿宋" w:cs="仿宋"/>
                <w:b/>
                <w:bCs/>
              </w:rPr>
            </w:pPr>
            <w:bookmarkStart w:id="0" w:name="_Hlk114690692"/>
            <w:r>
              <w:rPr>
                <w:rFonts w:hint="eastAsia" w:ascii="仿宋" w:hAnsi="仿宋" w:eastAsia="仿宋" w:cs="仿宋"/>
                <w:b/>
                <w:bCs/>
              </w:rPr>
              <w:t>输出成果</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pStyle w:val="5"/>
              <w:rPr>
                <w:rFonts w:ascii="仿宋" w:hAnsi="仿宋" w:eastAsia="仿宋" w:cs="仿宋"/>
              </w:rPr>
            </w:pPr>
            <w:r>
              <w:rPr>
                <w:rFonts w:hint="eastAsia" w:ascii="仿宋" w:hAnsi="仿宋" w:eastAsia="仿宋" w:cs="仿宋"/>
              </w:rPr>
              <w:t>1</w:t>
            </w:r>
          </w:p>
        </w:tc>
        <w:tc>
          <w:tcPr>
            <w:tcW w:w="1488" w:type="dxa"/>
            <w:noWrap w:val="0"/>
            <w:vAlign w:val="center"/>
          </w:tcPr>
          <w:p>
            <w:pPr>
              <w:pStyle w:val="5"/>
              <w:rPr>
                <w:rFonts w:ascii="仿宋" w:hAnsi="仿宋" w:eastAsia="仿宋" w:cs="仿宋"/>
              </w:rPr>
            </w:pPr>
            <w:r>
              <w:rPr>
                <w:rFonts w:hint="eastAsia" w:ascii="仿宋" w:hAnsi="仿宋" w:eastAsia="仿宋" w:cs="仿宋"/>
              </w:rPr>
              <w:t>测评准备阶段</w:t>
            </w:r>
          </w:p>
        </w:tc>
        <w:tc>
          <w:tcPr>
            <w:tcW w:w="6336" w:type="dxa"/>
            <w:noWrap w:val="0"/>
            <w:vAlign w:val="center"/>
          </w:tcPr>
          <w:p>
            <w:pPr>
              <w:pStyle w:val="5"/>
              <w:rPr>
                <w:rFonts w:ascii="仿宋" w:hAnsi="仿宋" w:eastAsia="仿宋" w:cs="仿宋"/>
              </w:rPr>
            </w:pPr>
            <w:r>
              <w:rPr>
                <w:rFonts w:hint="eastAsia" w:ascii="仿宋" w:hAnsi="仿宋" w:eastAsia="仿宋" w:cs="仿宋"/>
              </w:rPr>
              <w:t>《测评计划书 》、《调研结果报告》、《工具清单》、《网络安全等级保护测评方案》、《测评指导书》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1" w:type="dxa"/>
            <w:noWrap w:val="0"/>
            <w:vAlign w:val="center"/>
          </w:tcPr>
          <w:p>
            <w:pPr>
              <w:pStyle w:val="5"/>
              <w:rPr>
                <w:rFonts w:ascii="仿宋" w:hAnsi="仿宋" w:eastAsia="仿宋" w:cs="仿宋"/>
              </w:rPr>
            </w:pPr>
            <w:r>
              <w:rPr>
                <w:rFonts w:hint="eastAsia" w:ascii="仿宋" w:hAnsi="仿宋" w:eastAsia="仿宋" w:cs="仿宋"/>
              </w:rPr>
              <w:t>2</w:t>
            </w:r>
          </w:p>
        </w:tc>
        <w:tc>
          <w:tcPr>
            <w:tcW w:w="1488" w:type="dxa"/>
            <w:noWrap w:val="0"/>
            <w:vAlign w:val="center"/>
          </w:tcPr>
          <w:p>
            <w:pPr>
              <w:pStyle w:val="5"/>
              <w:rPr>
                <w:rFonts w:ascii="仿宋" w:hAnsi="仿宋" w:eastAsia="仿宋" w:cs="仿宋"/>
              </w:rPr>
            </w:pPr>
            <w:r>
              <w:rPr>
                <w:rFonts w:hint="eastAsia" w:ascii="仿宋" w:hAnsi="仿宋" w:eastAsia="仿宋" w:cs="仿宋"/>
              </w:rPr>
              <w:t>现场测评阶段</w:t>
            </w:r>
          </w:p>
        </w:tc>
        <w:tc>
          <w:tcPr>
            <w:tcW w:w="6336" w:type="dxa"/>
            <w:noWrap w:val="0"/>
            <w:vAlign w:val="center"/>
          </w:tcPr>
          <w:p>
            <w:pPr>
              <w:pStyle w:val="5"/>
              <w:rPr>
                <w:rFonts w:ascii="仿宋" w:hAnsi="仿宋" w:eastAsia="仿宋" w:cs="仿宋"/>
              </w:rPr>
            </w:pPr>
            <w:r>
              <w:rPr>
                <w:rFonts w:hint="eastAsia" w:ascii="仿宋" w:hAnsi="仿宋" w:eastAsia="仿宋" w:cs="仿宋"/>
              </w:rPr>
              <w:t>《网络安全等级保护测评过程文档》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pStyle w:val="5"/>
              <w:rPr>
                <w:rFonts w:ascii="仿宋" w:hAnsi="仿宋" w:eastAsia="仿宋" w:cs="仿宋"/>
              </w:rPr>
            </w:pPr>
            <w:r>
              <w:rPr>
                <w:rFonts w:hint="eastAsia" w:ascii="仿宋" w:hAnsi="仿宋" w:eastAsia="仿宋" w:cs="仿宋"/>
              </w:rPr>
              <w:t>3</w:t>
            </w:r>
          </w:p>
        </w:tc>
        <w:tc>
          <w:tcPr>
            <w:tcW w:w="1488" w:type="dxa"/>
            <w:noWrap w:val="0"/>
            <w:vAlign w:val="center"/>
          </w:tcPr>
          <w:p>
            <w:pPr>
              <w:pStyle w:val="5"/>
              <w:rPr>
                <w:rFonts w:ascii="仿宋" w:hAnsi="仿宋" w:eastAsia="仿宋" w:cs="仿宋"/>
              </w:rPr>
            </w:pPr>
            <w:r>
              <w:rPr>
                <w:rFonts w:hint="eastAsia" w:ascii="仿宋" w:hAnsi="仿宋" w:eastAsia="仿宋" w:cs="仿宋"/>
              </w:rPr>
              <w:t>现场结果分析</w:t>
            </w:r>
          </w:p>
        </w:tc>
        <w:tc>
          <w:tcPr>
            <w:tcW w:w="6336" w:type="dxa"/>
            <w:noWrap w:val="0"/>
            <w:vAlign w:val="center"/>
          </w:tcPr>
          <w:p>
            <w:pPr>
              <w:pStyle w:val="5"/>
              <w:rPr>
                <w:rFonts w:ascii="仿宋" w:hAnsi="仿宋" w:eastAsia="仿宋" w:cs="仿宋"/>
              </w:rPr>
            </w:pPr>
            <w:r>
              <w:rPr>
                <w:rFonts w:hint="eastAsia" w:ascii="仿宋" w:hAnsi="仿宋" w:eastAsia="仿宋" w:cs="仿宋"/>
              </w:rPr>
              <w:t>《网络等级安全保护测评加固建议方案》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1" w:type="dxa"/>
            <w:noWrap w:val="0"/>
            <w:vAlign w:val="center"/>
          </w:tcPr>
          <w:p>
            <w:pPr>
              <w:pStyle w:val="5"/>
              <w:rPr>
                <w:rFonts w:ascii="仿宋" w:hAnsi="仿宋" w:eastAsia="仿宋" w:cs="仿宋"/>
              </w:rPr>
            </w:pPr>
            <w:r>
              <w:rPr>
                <w:rFonts w:hint="eastAsia" w:ascii="仿宋" w:hAnsi="仿宋" w:eastAsia="仿宋" w:cs="仿宋"/>
              </w:rPr>
              <w:t>4</w:t>
            </w:r>
          </w:p>
        </w:tc>
        <w:tc>
          <w:tcPr>
            <w:tcW w:w="1488" w:type="dxa"/>
            <w:noWrap w:val="0"/>
            <w:vAlign w:val="center"/>
          </w:tcPr>
          <w:p>
            <w:pPr>
              <w:pStyle w:val="5"/>
              <w:rPr>
                <w:rFonts w:ascii="仿宋" w:hAnsi="仿宋" w:eastAsia="仿宋" w:cs="仿宋"/>
              </w:rPr>
            </w:pPr>
            <w:r>
              <w:rPr>
                <w:rFonts w:hint="eastAsia" w:ascii="仿宋" w:hAnsi="仿宋" w:eastAsia="仿宋" w:cs="仿宋"/>
              </w:rPr>
              <w:t>报告编制</w:t>
            </w:r>
          </w:p>
        </w:tc>
        <w:tc>
          <w:tcPr>
            <w:tcW w:w="6336" w:type="dxa"/>
            <w:noWrap w:val="0"/>
            <w:vAlign w:val="center"/>
          </w:tcPr>
          <w:p>
            <w:pPr>
              <w:pStyle w:val="5"/>
              <w:rPr>
                <w:rFonts w:ascii="仿宋" w:hAnsi="仿宋" w:eastAsia="仿宋" w:cs="仿宋"/>
              </w:rPr>
            </w:pPr>
            <w:r>
              <w:rPr>
                <w:rFonts w:hint="eastAsia" w:ascii="仿宋" w:hAnsi="仿宋" w:eastAsia="仿宋" w:cs="仿宋"/>
              </w:rPr>
              <w:t>《网络安全等级保护测评报告》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61" w:type="dxa"/>
            <w:noWrap w:val="0"/>
            <w:vAlign w:val="center"/>
          </w:tcPr>
          <w:p>
            <w:pPr>
              <w:pStyle w:val="5"/>
              <w:rPr>
                <w:rFonts w:ascii="仿宋" w:hAnsi="仿宋" w:eastAsia="仿宋" w:cs="仿宋"/>
              </w:rPr>
            </w:pPr>
            <w:r>
              <w:rPr>
                <w:rFonts w:hint="eastAsia" w:ascii="仿宋" w:hAnsi="仿宋" w:eastAsia="仿宋" w:cs="仿宋"/>
              </w:rPr>
              <w:t>5</w:t>
            </w:r>
          </w:p>
        </w:tc>
        <w:tc>
          <w:tcPr>
            <w:tcW w:w="1488" w:type="dxa"/>
            <w:noWrap w:val="0"/>
            <w:vAlign w:val="center"/>
          </w:tcPr>
          <w:p>
            <w:pPr>
              <w:pStyle w:val="5"/>
              <w:rPr>
                <w:rFonts w:ascii="仿宋" w:hAnsi="仿宋" w:eastAsia="仿宋" w:cs="仿宋"/>
              </w:rPr>
            </w:pPr>
            <w:r>
              <w:rPr>
                <w:rFonts w:hint="eastAsia" w:ascii="仿宋" w:hAnsi="仿宋" w:eastAsia="仿宋" w:cs="仿宋"/>
              </w:rPr>
              <w:t>备案</w:t>
            </w:r>
          </w:p>
        </w:tc>
        <w:tc>
          <w:tcPr>
            <w:tcW w:w="6336" w:type="dxa"/>
            <w:noWrap w:val="0"/>
            <w:vAlign w:val="center"/>
          </w:tcPr>
          <w:p>
            <w:pPr>
              <w:pStyle w:val="5"/>
              <w:rPr>
                <w:rFonts w:ascii="仿宋" w:hAnsi="仿宋" w:eastAsia="仿宋" w:cs="仿宋"/>
              </w:rPr>
            </w:pPr>
            <w:r>
              <w:rPr>
                <w:rFonts w:hint="eastAsia" w:ascii="仿宋" w:hAnsi="仿宋" w:eastAsia="仿宋" w:cs="仿宋"/>
              </w:rPr>
              <w:t>《等保定级报告》《备案表》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61" w:type="dxa"/>
            <w:noWrap w:val="0"/>
            <w:vAlign w:val="center"/>
          </w:tcPr>
          <w:p>
            <w:pPr>
              <w:pStyle w:val="5"/>
              <w:rPr>
                <w:rFonts w:ascii="仿宋" w:hAnsi="仿宋" w:eastAsia="仿宋" w:cs="仿宋"/>
              </w:rPr>
            </w:pPr>
            <w:r>
              <w:rPr>
                <w:rFonts w:hint="eastAsia" w:ascii="仿宋" w:hAnsi="仿宋" w:eastAsia="仿宋" w:cs="仿宋"/>
              </w:rPr>
              <w:t>6</w:t>
            </w:r>
          </w:p>
        </w:tc>
        <w:tc>
          <w:tcPr>
            <w:tcW w:w="1488" w:type="dxa"/>
            <w:noWrap w:val="0"/>
            <w:vAlign w:val="center"/>
          </w:tcPr>
          <w:p>
            <w:pPr>
              <w:pStyle w:val="5"/>
              <w:rPr>
                <w:rFonts w:ascii="仿宋" w:hAnsi="仿宋" w:eastAsia="仿宋" w:cs="仿宋"/>
              </w:rPr>
            </w:pPr>
            <w:r>
              <w:rPr>
                <w:rFonts w:hint="eastAsia" w:ascii="仿宋" w:hAnsi="仿宋" w:eastAsia="仿宋" w:cs="仿宋"/>
              </w:rPr>
              <w:t>安全服务</w:t>
            </w:r>
          </w:p>
        </w:tc>
        <w:tc>
          <w:tcPr>
            <w:tcW w:w="6336" w:type="dxa"/>
            <w:noWrap w:val="0"/>
            <w:vAlign w:val="center"/>
          </w:tcPr>
          <w:p>
            <w:pPr>
              <w:pStyle w:val="5"/>
              <w:rPr>
                <w:rFonts w:ascii="仿宋" w:hAnsi="仿宋" w:eastAsia="仿宋" w:cs="仿宋"/>
              </w:rPr>
            </w:pPr>
            <w:r>
              <w:rPr>
                <w:rFonts w:hint="eastAsia" w:ascii="仿宋" w:hAnsi="仿宋" w:eastAsia="仿宋" w:cs="仿宋"/>
              </w:rPr>
              <w:t>《安全培训方案和相关文档》、《漏洞扫描报告》、《渗透测试报告》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73502"/>
    <w:multiLevelType w:val="multilevel"/>
    <w:tmpl w:val="434735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68AA1816"/>
    <w:rsid w:val="68AA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等线" w:eastAsia="等线" w:cs="Calibri"/>
      <w:sz w:val="34"/>
      <w:szCs w:val="34"/>
      <w:lang w:val="en-US" w:eastAsia="zh-CN" w:bidi="ar-SA"/>
    </w:rPr>
  </w:style>
  <w:style w:type="paragraph" w:styleId="3">
    <w:name w:val="heading 1"/>
    <w:basedOn w:val="1"/>
    <w:next w:val="1"/>
    <w:qFormat/>
    <w:uiPriority w:val="99"/>
    <w:pPr>
      <w:keepNext/>
      <w:keepLines/>
      <w:spacing w:before="340" w:after="330" w:line="576" w:lineRule="auto"/>
      <w:outlineLvl w:val="0"/>
    </w:pPr>
    <w:rPr>
      <w:rFonts w:cs="等线"/>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Verdana" w:hAnsi="Verdana" w:eastAsia="Helvetica Neue" w:cs="等线"/>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cs="等线"/>
    </w:rPr>
  </w:style>
  <w:style w:type="paragraph" w:styleId="5">
    <w:name w:val="Note Heading"/>
    <w:basedOn w:val="1"/>
    <w:next w:val="1"/>
    <w:qFormat/>
    <w:uiPriority w:val="99"/>
    <w:pPr>
      <w:spacing w:line="360" w:lineRule="auto"/>
      <w:jc w:val="center"/>
    </w:pPr>
    <w:rPr>
      <w:rFonts w:ascii="宋体" w:hAnsi="宋体"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1408</Words>
  <Characters>1522</Characters>
  <Lines>0</Lines>
  <Paragraphs>0</Paragraphs>
  <TotalTime>1</TotalTime>
  <ScaleCrop>false</ScaleCrop>
  <LinksUpToDate>false</LinksUpToDate>
  <CharactersWithSpaces>1567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2023-05-15T05:44:00Z</dcterms:created>
  <dc:creator>在工作之余</dc:creator>
  <cp:lastModifiedBy>在工作之余</cp:lastModifiedBy>
  <dcterms:modified xsi:type="dcterms:W3CDTF">2023-05-15T05:47:24Z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8F0258CB521E4093A61E36C159C14AA9_11</vt:lpwstr>
  </property>
</Properties>
</file>